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70" w:rsidRDefault="00802570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02570" w:rsidRPr="00802570" w:rsidRDefault="00802570" w:rsidP="00802570">
      <w:pPr>
        <w:tabs>
          <w:tab w:val="left" w:pos="9214"/>
        </w:tabs>
        <w:ind w:left="-284"/>
        <w:jc w:val="center"/>
        <w:rPr>
          <w:b/>
          <w:sz w:val="22"/>
          <w:szCs w:val="22"/>
          <w:u w:val="single"/>
        </w:rPr>
      </w:pPr>
      <w:r w:rsidRPr="00802570">
        <w:rPr>
          <w:b/>
          <w:sz w:val="22"/>
          <w:szCs w:val="22"/>
          <w:u w:val="single"/>
        </w:rPr>
        <w:t>DECRETO Nº</w:t>
      </w:r>
      <w:r>
        <w:rPr>
          <w:b/>
          <w:sz w:val="22"/>
          <w:szCs w:val="22"/>
          <w:u w:val="single"/>
        </w:rPr>
        <w:t xml:space="preserve"> 129 </w:t>
      </w:r>
      <w:r w:rsidRPr="00802570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06 </w:t>
      </w:r>
      <w:r w:rsidRPr="00802570">
        <w:rPr>
          <w:b/>
          <w:sz w:val="22"/>
          <w:szCs w:val="22"/>
          <w:u w:val="single"/>
        </w:rPr>
        <w:t>DE SETEMBRO DE 2017</w:t>
      </w:r>
    </w:p>
    <w:p w:rsidR="00802570" w:rsidRPr="00802570" w:rsidRDefault="00802570" w:rsidP="00802570">
      <w:pPr>
        <w:tabs>
          <w:tab w:val="left" w:pos="9214"/>
        </w:tabs>
        <w:ind w:left="-284"/>
        <w:jc w:val="both"/>
        <w:rPr>
          <w:b/>
          <w:sz w:val="22"/>
          <w:szCs w:val="22"/>
        </w:rPr>
      </w:pPr>
    </w:p>
    <w:p w:rsidR="00802570" w:rsidRDefault="00802570" w:rsidP="00802570">
      <w:pPr>
        <w:tabs>
          <w:tab w:val="left" w:pos="9214"/>
        </w:tabs>
        <w:ind w:left="3402"/>
        <w:jc w:val="both"/>
        <w:rPr>
          <w:b/>
          <w:i/>
          <w:sz w:val="22"/>
          <w:szCs w:val="22"/>
        </w:rPr>
      </w:pPr>
      <w:r w:rsidRPr="00802570">
        <w:rPr>
          <w:b/>
          <w:i/>
          <w:sz w:val="22"/>
          <w:szCs w:val="22"/>
        </w:rPr>
        <w:t>“REGULAMENTA A LEI 1.344, DE 22 DE DEZEMBRO DE 2005, NO TOCANTE AO TRÂMITE DO PEDIDO DE TERMO DE COMPROMISSO E DÁ OUTRAS PROVIDÊNCIAS”</w:t>
      </w:r>
    </w:p>
    <w:p w:rsidR="00802570" w:rsidRPr="00802570" w:rsidRDefault="00802570" w:rsidP="00802570">
      <w:pPr>
        <w:tabs>
          <w:tab w:val="left" w:pos="9214"/>
        </w:tabs>
        <w:ind w:left="3402"/>
        <w:jc w:val="both"/>
        <w:rPr>
          <w:b/>
          <w:i/>
          <w:sz w:val="22"/>
          <w:szCs w:val="22"/>
        </w:rPr>
      </w:pPr>
    </w:p>
    <w:p w:rsidR="00802570" w:rsidRPr="00802570" w:rsidRDefault="00802570" w:rsidP="00802570">
      <w:pPr>
        <w:tabs>
          <w:tab w:val="left" w:pos="9214"/>
        </w:tabs>
        <w:ind w:left="3402" w:firstLine="1134"/>
        <w:jc w:val="both"/>
        <w:rPr>
          <w:sz w:val="22"/>
          <w:szCs w:val="22"/>
        </w:rPr>
      </w:pPr>
    </w:p>
    <w:p w:rsidR="00802570" w:rsidRDefault="00802570" w:rsidP="00802570">
      <w:pPr>
        <w:tabs>
          <w:tab w:val="left" w:pos="9214"/>
        </w:tabs>
        <w:ind w:left="-284" w:firstLine="710"/>
        <w:jc w:val="both"/>
        <w:rPr>
          <w:sz w:val="16"/>
          <w:szCs w:val="16"/>
        </w:rPr>
      </w:pPr>
      <w:r w:rsidRPr="00802570">
        <w:rPr>
          <w:b/>
          <w:sz w:val="22"/>
          <w:szCs w:val="22"/>
        </w:rPr>
        <w:t>A PREFEITA MUNICIPAL DE ARARUAMA</w:t>
      </w:r>
      <w:r w:rsidRPr="00802570">
        <w:rPr>
          <w:sz w:val="22"/>
          <w:szCs w:val="22"/>
        </w:rPr>
        <w:t>, no uso de suas atribuições legais e competência, conferidas pelo art. 69 da Lei Orgânica do Município de Araruama; e</w:t>
      </w:r>
    </w:p>
    <w:p w:rsidR="00802570" w:rsidRPr="00802570" w:rsidRDefault="00802570" w:rsidP="00802570">
      <w:pPr>
        <w:tabs>
          <w:tab w:val="left" w:pos="9214"/>
        </w:tabs>
        <w:ind w:left="-284" w:firstLine="1134"/>
        <w:jc w:val="both"/>
        <w:rPr>
          <w:sz w:val="16"/>
          <w:szCs w:val="16"/>
        </w:rPr>
      </w:pPr>
    </w:p>
    <w:p w:rsidR="00802570" w:rsidRPr="00802570" w:rsidRDefault="00802570" w:rsidP="00802570">
      <w:pPr>
        <w:tabs>
          <w:tab w:val="left" w:pos="9214"/>
        </w:tabs>
        <w:ind w:left="-284" w:firstLine="710"/>
        <w:jc w:val="both"/>
        <w:rPr>
          <w:sz w:val="22"/>
          <w:szCs w:val="22"/>
        </w:rPr>
      </w:pPr>
      <w:r w:rsidRPr="00802570">
        <w:rPr>
          <w:b/>
          <w:sz w:val="22"/>
          <w:szCs w:val="22"/>
        </w:rPr>
        <w:t xml:space="preserve">Considerando </w:t>
      </w:r>
      <w:r w:rsidRPr="00802570">
        <w:rPr>
          <w:sz w:val="22"/>
          <w:szCs w:val="22"/>
        </w:rPr>
        <w:t>a necessidade de regulamentação da tramitação do pedido de conversão do valor da multa e do respectivo Termo de Compromisso de que trata a Lei Municipal nº 1.344, de 22 de dezembro de 2005;</w:t>
      </w:r>
    </w:p>
    <w:p w:rsidR="00802570" w:rsidRPr="00802570" w:rsidRDefault="00802570" w:rsidP="00802570">
      <w:pPr>
        <w:tabs>
          <w:tab w:val="left" w:pos="9214"/>
        </w:tabs>
        <w:ind w:left="-284" w:firstLine="1134"/>
        <w:jc w:val="both"/>
        <w:rPr>
          <w:sz w:val="22"/>
          <w:szCs w:val="22"/>
        </w:rPr>
      </w:pPr>
    </w:p>
    <w:p w:rsidR="00802570" w:rsidRPr="00827EB6" w:rsidRDefault="00802570" w:rsidP="00802570">
      <w:pPr>
        <w:tabs>
          <w:tab w:val="left" w:pos="9214"/>
        </w:tabs>
        <w:ind w:left="-284"/>
        <w:jc w:val="center"/>
        <w:rPr>
          <w:sz w:val="22"/>
          <w:szCs w:val="22"/>
        </w:rPr>
      </w:pPr>
      <w:r w:rsidRPr="00827EB6">
        <w:rPr>
          <w:b/>
          <w:sz w:val="22"/>
          <w:szCs w:val="22"/>
        </w:rPr>
        <w:t>D E C R E T A:</w:t>
      </w:r>
    </w:p>
    <w:p w:rsidR="00802570" w:rsidRPr="00827EB6" w:rsidRDefault="00802570" w:rsidP="00802570">
      <w:pPr>
        <w:pStyle w:val="NormalWeb"/>
        <w:tabs>
          <w:tab w:val="left" w:pos="9214"/>
        </w:tabs>
        <w:ind w:left="-284" w:firstLine="1134"/>
        <w:jc w:val="both"/>
        <w:rPr>
          <w:color w:val="000000"/>
          <w:sz w:val="22"/>
          <w:szCs w:val="22"/>
        </w:rPr>
      </w:pP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1º.</w:t>
      </w:r>
      <w:r w:rsidRPr="00802570">
        <w:rPr>
          <w:color w:val="000000"/>
          <w:sz w:val="22"/>
          <w:szCs w:val="22"/>
        </w:rPr>
        <w:t>  A autoridade ambiental poderá, nos termos da Lei 1.344 de 22 de dezembro de 2005, converter o valor da multa parcial ou integralmente em serviços de preservação, melhoria e recuperação da qualidade do meio ambiente.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 xml:space="preserve">§ 1º. </w:t>
      </w:r>
      <w:r w:rsidRPr="00802570">
        <w:rPr>
          <w:color w:val="000000"/>
          <w:sz w:val="22"/>
          <w:szCs w:val="22"/>
        </w:rPr>
        <w:t>Após o pedido de conversão de multa pelo infrator, a autoridade ambiental remeterá os autos do processo administrativo no prazo de 05 (cinco) dias à Procuradoria Geral do Município.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 xml:space="preserve">§ 2º. </w:t>
      </w:r>
      <w:r w:rsidRPr="00802570">
        <w:rPr>
          <w:color w:val="000000"/>
          <w:sz w:val="22"/>
          <w:szCs w:val="22"/>
        </w:rPr>
        <w:t>Após a elaboração de parecer jurídico e da minuta do Termo de Compromisso, os autos serão remetidos ao Chefe do Poder Executivo Municipal a quem cabe a decisão final sobre a aceitação do mesmo.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 xml:space="preserve">§3º. </w:t>
      </w:r>
      <w:r w:rsidRPr="00802570">
        <w:rPr>
          <w:color w:val="000000"/>
          <w:sz w:val="22"/>
          <w:szCs w:val="22"/>
        </w:rPr>
        <w:t>Após a devida autorização do Chefe do Poder Executivo para firmar o Termo, os autos serão novamente remetidos à Procuradoria Geral do Município, ond</w:t>
      </w:r>
      <w:r>
        <w:rPr>
          <w:color w:val="000000"/>
          <w:sz w:val="22"/>
          <w:szCs w:val="22"/>
        </w:rPr>
        <w:t>e se dará a celebração do mesmo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 xml:space="preserve">§ 4º. </w:t>
      </w:r>
      <w:r w:rsidRPr="00802570">
        <w:rPr>
          <w:color w:val="000000"/>
          <w:sz w:val="22"/>
          <w:szCs w:val="22"/>
        </w:rPr>
        <w:t xml:space="preserve">Na hipótese </w:t>
      </w:r>
      <w:proofErr w:type="gramStart"/>
      <w:r w:rsidRPr="00802570">
        <w:rPr>
          <w:color w:val="000000"/>
          <w:sz w:val="22"/>
          <w:szCs w:val="22"/>
        </w:rPr>
        <w:t>do</w:t>
      </w:r>
      <w:proofErr w:type="gramEnd"/>
      <w:r w:rsidRPr="00802570">
        <w:rPr>
          <w:color w:val="000000"/>
          <w:sz w:val="22"/>
          <w:szCs w:val="22"/>
        </w:rPr>
        <w:t xml:space="preserve"> Termo de Compromisso não ser firmado, os autos serão remetidos à Secretaria Municipal do Meio Ambiente para pagamento da multa no prazo de 30 (trinta) dias a contar da ciência da decisão pelo autuado, sob pena de Inscrição em Dívida Ativa.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 2º.</w:t>
      </w:r>
      <w:r w:rsidRPr="00802570">
        <w:rPr>
          <w:color w:val="000000"/>
          <w:sz w:val="22"/>
          <w:szCs w:val="22"/>
        </w:rPr>
        <w:t>  São considerados serviços de preservação, melhoria e recuperação da qualidade do meio ambiente: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 -</w:t>
      </w:r>
      <w:r w:rsidRPr="00802570">
        <w:rPr>
          <w:color w:val="000000"/>
          <w:sz w:val="22"/>
          <w:szCs w:val="22"/>
        </w:rPr>
        <w:t> execução de obras ou atividades de recuperação de danos decorrentes da própria infração;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II -</w:t>
      </w:r>
      <w:r w:rsidRPr="00802570">
        <w:rPr>
          <w:color w:val="000000"/>
          <w:sz w:val="22"/>
          <w:szCs w:val="22"/>
        </w:rPr>
        <w:t> </w:t>
      </w:r>
      <w:proofErr w:type="gramStart"/>
      <w:r w:rsidRPr="00802570">
        <w:rPr>
          <w:color w:val="000000"/>
          <w:sz w:val="22"/>
          <w:szCs w:val="22"/>
        </w:rPr>
        <w:t>implementação</w:t>
      </w:r>
      <w:proofErr w:type="gramEnd"/>
      <w:r w:rsidRPr="00802570">
        <w:rPr>
          <w:color w:val="000000"/>
          <w:sz w:val="22"/>
          <w:szCs w:val="22"/>
        </w:rPr>
        <w:t xml:space="preserve"> de obras ou atividades de recuperação de áreas degradadas, bem como de preservação e melhoria da qualidade do meio ambiente;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III -</w:t>
      </w:r>
      <w:r w:rsidRPr="00802570">
        <w:rPr>
          <w:color w:val="000000"/>
          <w:sz w:val="22"/>
          <w:szCs w:val="22"/>
        </w:rPr>
        <w:t> custeio ou execução de programas e de projetos ambientais desenvolvidos por entidades públicas de proteção e conservação do meio ambiente; e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IV -</w:t>
      </w:r>
      <w:r w:rsidRPr="00802570">
        <w:rPr>
          <w:color w:val="000000"/>
          <w:sz w:val="22"/>
          <w:szCs w:val="22"/>
        </w:rPr>
        <w:t> manutenção de espaços públicos que tenham como objetivo a preservação do meio ambiente.</w:t>
      </w:r>
    </w:p>
    <w:p w:rsid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Parágrafo Único.</w:t>
      </w:r>
      <w:r w:rsidRPr="00802570">
        <w:rPr>
          <w:color w:val="000000"/>
          <w:sz w:val="22"/>
          <w:szCs w:val="22"/>
        </w:rPr>
        <w:t xml:space="preserve"> Para efeitos deste Decreto, meio ambiente abrange meio ambiente natural, o meio ambiente artificial, o meio ambiente do trabalho e o meio ambiente cultural.</w:t>
      </w:r>
    </w:p>
    <w:p w:rsidR="00802570" w:rsidRDefault="00802570" w:rsidP="00802570">
      <w:pPr>
        <w:pStyle w:val="NormalWeb"/>
        <w:tabs>
          <w:tab w:val="left" w:pos="9214"/>
        </w:tabs>
        <w:jc w:val="both"/>
        <w:rPr>
          <w:color w:val="000000"/>
          <w:sz w:val="22"/>
          <w:szCs w:val="22"/>
        </w:rPr>
      </w:pPr>
    </w:p>
    <w:p w:rsidR="00802570" w:rsidRPr="00802570" w:rsidRDefault="00802570" w:rsidP="00802570">
      <w:pPr>
        <w:pStyle w:val="NormalWeb"/>
        <w:tabs>
          <w:tab w:val="left" w:pos="9214"/>
        </w:tabs>
        <w:jc w:val="both"/>
        <w:rPr>
          <w:color w:val="000000"/>
          <w:sz w:val="16"/>
          <w:szCs w:val="16"/>
        </w:rPr>
      </w:pP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3º.</w:t>
      </w:r>
      <w:r w:rsidRPr="00802570">
        <w:rPr>
          <w:color w:val="000000"/>
          <w:sz w:val="22"/>
          <w:szCs w:val="22"/>
        </w:rPr>
        <w:t>  Não será concedida a conversão de multa para reparação de danos de que trata o inciso I do art. 2º, quando: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 -</w:t>
      </w:r>
      <w:r w:rsidRPr="00802570">
        <w:rPr>
          <w:color w:val="000000"/>
          <w:sz w:val="22"/>
          <w:szCs w:val="22"/>
        </w:rPr>
        <w:t> </w:t>
      </w:r>
      <w:proofErr w:type="gramStart"/>
      <w:r w:rsidRPr="00802570">
        <w:rPr>
          <w:color w:val="000000"/>
          <w:sz w:val="22"/>
          <w:szCs w:val="22"/>
        </w:rPr>
        <w:t>não</w:t>
      </w:r>
      <w:proofErr w:type="gramEnd"/>
      <w:r w:rsidRPr="00802570">
        <w:rPr>
          <w:color w:val="000000"/>
          <w:sz w:val="22"/>
          <w:szCs w:val="22"/>
        </w:rPr>
        <w:t xml:space="preserve"> se caracterizar dano direto ao meio ambiente; e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II - </w:t>
      </w:r>
      <w:r w:rsidRPr="00802570">
        <w:rPr>
          <w:color w:val="000000"/>
          <w:sz w:val="22"/>
          <w:szCs w:val="22"/>
        </w:rPr>
        <w:t>a recuperação da área degradada puder ser realizada pela simples regeneração natural.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Parágrafo </w:t>
      </w:r>
      <w:r>
        <w:rPr>
          <w:b/>
          <w:color w:val="000000"/>
          <w:sz w:val="22"/>
          <w:szCs w:val="22"/>
        </w:rPr>
        <w:t>Ú</w:t>
      </w:r>
      <w:r w:rsidRPr="00802570">
        <w:rPr>
          <w:b/>
          <w:color w:val="000000"/>
          <w:sz w:val="22"/>
          <w:szCs w:val="22"/>
        </w:rPr>
        <w:t>nico.</w:t>
      </w:r>
      <w:r w:rsidRPr="00802570">
        <w:rPr>
          <w:color w:val="000000"/>
          <w:sz w:val="22"/>
          <w:szCs w:val="22"/>
        </w:rPr>
        <w:t>  Na hipótese do caput, a multa poderá ser convertida nos serviços descritos nos incisos II, III e IV do art. 2º, sem prejuízo da reparação dos danos praticados pelo infrator.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4º.</w:t>
      </w:r>
      <w:r w:rsidRPr="00802570">
        <w:rPr>
          <w:color w:val="000000"/>
          <w:sz w:val="22"/>
          <w:szCs w:val="22"/>
        </w:rPr>
        <w:t>  O autuado poderá requerer a conversão de multa de que trata este Decreto por ocasião da apresentação da defesa.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5º.</w:t>
      </w:r>
      <w:r w:rsidRPr="00802570">
        <w:rPr>
          <w:color w:val="000000"/>
          <w:sz w:val="22"/>
          <w:szCs w:val="22"/>
        </w:rPr>
        <w:t>  O valor dos custos dos serviços de preservação, melhoria e recuperação da qualidade do meio ambiente não poderá ser inferior ao valor da multa convertida.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1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</w:rPr>
        <w:t>.</w:t>
      </w:r>
      <w:r w:rsidRPr="00802570">
        <w:rPr>
          <w:color w:val="000000"/>
          <w:sz w:val="22"/>
          <w:szCs w:val="22"/>
        </w:rPr>
        <w:t> Independentemente do valor da multa aplicada, fica o autuado obrigado a reparar integralmente o dano que tenha causado.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bookmarkStart w:id="1" w:name="art143§3"/>
      <w:bookmarkEnd w:id="1"/>
      <w:r w:rsidRPr="00802570">
        <w:rPr>
          <w:b/>
          <w:color w:val="000000"/>
          <w:sz w:val="22"/>
          <w:szCs w:val="22"/>
        </w:rPr>
        <w:t>§ 2</w:t>
      </w:r>
      <w:r>
        <w:rPr>
          <w:b/>
          <w:color w:val="000000"/>
          <w:sz w:val="22"/>
          <w:szCs w:val="22"/>
        </w:rPr>
        <w:t>º</w:t>
      </w:r>
      <w:r w:rsidRPr="00802570">
        <w:rPr>
          <w:b/>
          <w:color w:val="000000"/>
          <w:sz w:val="22"/>
          <w:szCs w:val="22"/>
        </w:rPr>
        <w:t>.</w:t>
      </w:r>
      <w:r w:rsidRPr="00802570">
        <w:rPr>
          <w:color w:val="000000"/>
          <w:sz w:val="22"/>
          <w:szCs w:val="22"/>
        </w:rPr>
        <w:t xml:space="preserve"> A autoridade ambiental poderá aplicar um desconto de até sessenta por cento sobre o valor da multa consolidada. 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6º.</w:t>
      </w:r>
      <w:r w:rsidRPr="00802570">
        <w:rPr>
          <w:color w:val="000000"/>
          <w:sz w:val="22"/>
          <w:szCs w:val="22"/>
        </w:rPr>
        <w:t>  A conversão de multa destinada à reparação de danos ou recuperação das áreas degradadas pressupõe que o autuado apresente pré-projeto acompanhando o requerimento. 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1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</w:rPr>
        <w:t>. </w:t>
      </w:r>
      <w:r w:rsidRPr="00802570">
        <w:rPr>
          <w:color w:val="000000"/>
          <w:sz w:val="22"/>
          <w:szCs w:val="22"/>
        </w:rPr>
        <w:t>Caso o autuado ainda não disponha de pré-projeto na data de apresentação do requerimento, a autoridade ambiental, se provocada, poderá conceder o prazo de até trinta dias para que ele proceda à juntada aos autos do referido documento. 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2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</w:rPr>
        <w:t>. </w:t>
      </w:r>
      <w:r w:rsidRPr="00802570">
        <w:rPr>
          <w:color w:val="000000"/>
          <w:sz w:val="22"/>
          <w:szCs w:val="22"/>
        </w:rPr>
        <w:t xml:space="preserve">A autoridade ambiental poderá dispensar o projeto de recuperação ambiental </w:t>
      </w:r>
      <w:proofErr w:type="gramStart"/>
      <w:r w:rsidRPr="00802570">
        <w:rPr>
          <w:color w:val="000000"/>
          <w:sz w:val="22"/>
          <w:szCs w:val="22"/>
        </w:rPr>
        <w:t>ou  autorizar</w:t>
      </w:r>
      <w:proofErr w:type="gramEnd"/>
      <w:r w:rsidRPr="00802570">
        <w:rPr>
          <w:color w:val="000000"/>
          <w:sz w:val="22"/>
          <w:szCs w:val="22"/>
        </w:rPr>
        <w:t xml:space="preserve"> a substituição por projeto simplificado quando a recuperação ambiental for de menor complexidade.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3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</w:rPr>
        <w:t>.</w:t>
      </w:r>
      <w:r w:rsidRPr="00802570">
        <w:rPr>
          <w:color w:val="000000"/>
          <w:sz w:val="22"/>
          <w:szCs w:val="22"/>
        </w:rPr>
        <w:t> Antes de decidir o pedido de conversão da multa, a autoridade ambiental poderá determinar ao autuado que proceda a emendas, revisões e ajustes no pré-projeto.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4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</w:rPr>
        <w:t>. </w:t>
      </w:r>
      <w:r w:rsidRPr="00802570">
        <w:rPr>
          <w:color w:val="000000"/>
          <w:sz w:val="22"/>
          <w:szCs w:val="22"/>
        </w:rPr>
        <w:t>O não atendimento por parte do autuado de qualquer das situações previstas neste artigo importará no pronto indeferimento do pedido de conversão de multa.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7º.</w:t>
      </w:r>
      <w:r w:rsidRPr="00802570">
        <w:rPr>
          <w:color w:val="000000"/>
          <w:sz w:val="22"/>
          <w:szCs w:val="22"/>
        </w:rPr>
        <w:t>  Por ocasião do julgamento da defesa, a autoridade julgadora deverá, preferencialmente, numa única decisão, julgar o auto de infração e o pedido de conversão da multa.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1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</w:rPr>
        <w:t>. </w:t>
      </w:r>
      <w:r w:rsidRPr="00802570">
        <w:rPr>
          <w:color w:val="000000"/>
          <w:sz w:val="22"/>
          <w:szCs w:val="22"/>
        </w:rPr>
        <w:t>A decisão sobre o pedido de conversão é discricionária, podendo a administração, em decisão motivada, deferir ou não o pedido formulado, observado o que dispõe os parágrafos do artigo 1º.</w:t>
      </w:r>
    </w:p>
    <w:p w:rsid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2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</w:rPr>
        <w:t>.</w:t>
      </w:r>
      <w:r w:rsidRPr="00802570">
        <w:rPr>
          <w:color w:val="000000"/>
          <w:sz w:val="22"/>
          <w:szCs w:val="22"/>
        </w:rPr>
        <w:t> Em caso de acatamento do pedido de conversão, deverá a autoridade ambiental notificar o autuado para que compareça à sede da Procuradoria Geral do Município para a assinatura de termo de compromisso. </w:t>
      </w:r>
    </w:p>
    <w:p w:rsid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3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</w:rPr>
        <w:t>. </w:t>
      </w:r>
      <w:r w:rsidRPr="00802570">
        <w:rPr>
          <w:color w:val="000000"/>
          <w:sz w:val="22"/>
          <w:szCs w:val="22"/>
        </w:rPr>
        <w:t>O deferimento do pedido de conversão suspende o prazo para a interposição de recurso durante o prazo definido pelo órgão ou entidade ambiental para a celebração do termo de compromisso de que trata o art. 146.  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8º.</w:t>
      </w:r>
      <w:r w:rsidRPr="00802570">
        <w:rPr>
          <w:color w:val="000000"/>
          <w:sz w:val="22"/>
          <w:szCs w:val="22"/>
        </w:rPr>
        <w:t>  Havendo decisão favorável ao pedido de conversão de multa, as partes celebrarão termo de compromisso, que deverá conter as seguintes cláusulas obrigatórias: 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 -</w:t>
      </w:r>
      <w:r w:rsidRPr="00802570">
        <w:rPr>
          <w:color w:val="000000"/>
          <w:sz w:val="22"/>
          <w:szCs w:val="22"/>
        </w:rPr>
        <w:t> nome, qualificação e endereço das partes compromissadas e dos respectivos representantes legais;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II -</w:t>
      </w:r>
      <w:r w:rsidRPr="00802570">
        <w:rPr>
          <w:color w:val="000000"/>
          <w:sz w:val="22"/>
          <w:szCs w:val="22"/>
        </w:rPr>
        <w:t> prazo de vigência do compromisso, que, em função da complexidade das obrigações nele fixadas, poderá variar entre o mínimo de noventa dias e o máximo de 3 (três) anos, com possibilidade de prorrogação uma única vez por igual período;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III -</w:t>
      </w:r>
      <w:r w:rsidRPr="00802570">
        <w:rPr>
          <w:color w:val="000000"/>
          <w:sz w:val="22"/>
          <w:szCs w:val="22"/>
        </w:rPr>
        <w:t> descrição detalhada de seu objeto, valor do investimento previsto e cronograma físico de execução e de implantação das obras e serviços exigidos, com metas a serem atingidas quando se tratar de conversão de multa em obrigação de fazer;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IV -</w:t>
      </w:r>
      <w:r w:rsidRPr="00802570">
        <w:rPr>
          <w:color w:val="000000"/>
          <w:sz w:val="22"/>
          <w:szCs w:val="22"/>
        </w:rPr>
        <w:t> </w:t>
      </w:r>
      <w:proofErr w:type="gramStart"/>
      <w:r w:rsidRPr="00802570">
        <w:rPr>
          <w:color w:val="000000"/>
          <w:sz w:val="22"/>
          <w:szCs w:val="22"/>
        </w:rPr>
        <w:t>multa</w:t>
      </w:r>
      <w:proofErr w:type="gramEnd"/>
      <w:r w:rsidRPr="00802570">
        <w:rPr>
          <w:color w:val="000000"/>
          <w:sz w:val="22"/>
          <w:szCs w:val="22"/>
        </w:rPr>
        <w:t xml:space="preserve"> a ser aplicada em decorrência do não cumprimento das obrigações nele pactuadas, que não poderá ser inferior ao valor da multa convertida, nem superior ao dobro desse valor; e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V -</w:t>
      </w:r>
      <w:r w:rsidRPr="00802570">
        <w:rPr>
          <w:color w:val="000000"/>
          <w:sz w:val="22"/>
          <w:szCs w:val="22"/>
        </w:rPr>
        <w:t> foro competente para dirimir litígios entre as partes.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VI –</w:t>
      </w:r>
      <w:r w:rsidRPr="00802570">
        <w:rPr>
          <w:color w:val="000000"/>
          <w:sz w:val="22"/>
          <w:szCs w:val="22"/>
        </w:rPr>
        <w:t xml:space="preserve"> </w:t>
      </w:r>
      <w:proofErr w:type="gramStart"/>
      <w:r w:rsidRPr="00802570">
        <w:rPr>
          <w:color w:val="000000"/>
          <w:sz w:val="22"/>
          <w:szCs w:val="22"/>
        </w:rPr>
        <w:t>guia</w:t>
      </w:r>
      <w:proofErr w:type="gramEnd"/>
      <w:r w:rsidRPr="00802570">
        <w:rPr>
          <w:color w:val="000000"/>
          <w:sz w:val="22"/>
          <w:szCs w:val="22"/>
        </w:rPr>
        <w:t xml:space="preserve"> de consectários legais devidamente paga pelo infrator.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1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color w:val="000000"/>
          <w:sz w:val="22"/>
          <w:szCs w:val="22"/>
        </w:rPr>
        <w:t>. A assinatura do termo de compromisso implicará renúncia ao direito de recorrer administrativamente.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2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color w:val="000000"/>
          <w:sz w:val="22"/>
          <w:szCs w:val="22"/>
        </w:rPr>
        <w:t>. A celebração do termo de compromisso não põe fim ao processo administrativo, devendo a autoridade competente monitorar e avaliar, se as obrigações assumidas estão sendo cumpridas.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3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b/>
          <w:color w:val="000000"/>
          <w:sz w:val="22"/>
          <w:szCs w:val="22"/>
          <w:vertAlign w:val="superscript"/>
        </w:rPr>
        <w:t>.</w:t>
      </w:r>
      <w:r w:rsidRPr="00802570">
        <w:rPr>
          <w:color w:val="000000"/>
          <w:sz w:val="22"/>
          <w:szCs w:val="22"/>
        </w:rPr>
        <w:t xml:space="preserve"> O termo de compromisso terá efeitos na esfera civil e administrativa.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 4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color w:val="000000"/>
          <w:sz w:val="22"/>
          <w:szCs w:val="22"/>
        </w:rPr>
        <w:t>. O descumprimento do termo de compromisso implica:</w:t>
      </w:r>
    </w:p>
    <w:p w:rsidR="00802570" w:rsidRPr="00802570" w:rsidRDefault="00802570" w:rsidP="00802570">
      <w:pPr>
        <w:pStyle w:val="NormalWeb"/>
        <w:tabs>
          <w:tab w:val="left" w:pos="9214"/>
        </w:tabs>
        <w:spacing w:beforeAutospacing="0" w:after="120" w:afterAutospacing="0"/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 -</w:t>
      </w:r>
      <w:r w:rsidRPr="00802570">
        <w:rPr>
          <w:color w:val="000000"/>
          <w:sz w:val="22"/>
          <w:szCs w:val="22"/>
        </w:rPr>
        <w:t> </w:t>
      </w:r>
      <w:proofErr w:type="gramStart"/>
      <w:r w:rsidRPr="00802570">
        <w:rPr>
          <w:color w:val="000000"/>
          <w:sz w:val="22"/>
          <w:szCs w:val="22"/>
        </w:rPr>
        <w:t>na</w:t>
      </w:r>
      <w:proofErr w:type="gramEnd"/>
      <w:r w:rsidRPr="00802570">
        <w:rPr>
          <w:color w:val="000000"/>
          <w:sz w:val="22"/>
          <w:szCs w:val="22"/>
        </w:rPr>
        <w:t xml:space="preserve"> esfera administrativa, a imediata inscrição do débito em Dívida Ativa para cobrança da multa resultante do auto de infração em seu valor integral; e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II </w:t>
      </w:r>
      <w:r w:rsidRPr="00802570">
        <w:rPr>
          <w:color w:val="000000"/>
          <w:sz w:val="22"/>
          <w:szCs w:val="22"/>
        </w:rPr>
        <w:t>- na esfera civil, a imediata execução judicial das obrigações assumidas, tendo em vista seu caráter de título executivo extrajudicial.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5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color w:val="000000"/>
          <w:sz w:val="22"/>
          <w:szCs w:val="22"/>
        </w:rPr>
        <w:t>. O termo de compromisso poderá conter cláusulas relativas às demais sanções aplicadas em decorrência do julgamento do auto de infração.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§ 6</w:t>
      </w:r>
      <w:r w:rsidRPr="00802570">
        <w:rPr>
          <w:b/>
          <w:color w:val="000000"/>
          <w:sz w:val="22"/>
          <w:szCs w:val="22"/>
          <w:u w:val="single"/>
          <w:vertAlign w:val="superscript"/>
        </w:rPr>
        <w:t>o</w:t>
      </w:r>
      <w:r w:rsidRPr="00802570">
        <w:rPr>
          <w:color w:val="000000"/>
          <w:sz w:val="22"/>
          <w:szCs w:val="22"/>
        </w:rPr>
        <w:t>. A assinatura do termo de compromisso tratado neste artigo suspende a exigibilidade da multa aplicada.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9º.</w:t>
      </w:r>
      <w:r w:rsidRPr="00802570">
        <w:rPr>
          <w:color w:val="000000"/>
          <w:sz w:val="22"/>
          <w:szCs w:val="22"/>
        </w:rPr>
        <w:t>  Os termos de compromisso deverão ser publicados no diário dos atos municipais, mediante extrato. </w:t>
      </w:r>
    </w:p>
    <w:p w:rsid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  <w:r w:rsidRPr="00802570">
        <w:rPr>
          <w:b/>
          <w:color w:val="000000"/>
          <w:sz w:val="22"/>
          <w:szCs w:val="22"/>
        </w:rPr>
        <w:t>Art. 10</w:t>
      </w:r>
      <w:r>
        <w:rPr>
          <w:b/>
          <w:color w:val="000000"/>
          <w:sz w:val="22"/>
          <w:szCs w:val="22"/>
        </w:rPr>
        <w:t>º</w:t>
      </w:r>
      <w:r w:rsidRPr="00802570">
        <w:rPr>
          <w:b/>
          <w:color w:val="000000"/>
          <w:sz w:val="22"/>
          <w:szCs w:val="22"/>
        </w:rPr>
        <w:t>.</w:t>
      </w:r>
      <w:r w:rsidRPr="00802570">
        <w:rPr>
          <w:color w:val="000000"/>
          <w:sz w:val="22"/>
          <w:szCs w:val="22"/>
        </w:rPr>
        <w:t>  A conversão da multa não poderá ser concedida novamente ao mesmo infrator durante o período de cinco anos, contados da data da assinatura do termo de compromisso.  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color w:val="000000"/>
          <w:sz w:val="22"/>
          <w:szCs w:val="22"/>
        </w:rPr>
      </w:pPr>
    </w:p>
    <w:p w:rsid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sz w:val="22"/>
          <w:szCs w:val="22"/>
        </w:rPr>
      </w:pPr>
      <w:r w:rsidRPr="00802570">
        <w:rPr>
          <w:b/>
          <w:sz w:val="22"/>
          <w:szCs w:val="22"/>
        </w:rPr>
        <w:t>Art. 11.</w:t>
      </w:r>
      <w:r w:rsidRPr="00802570">
        <w:rPr>
          <w:sz w:val="22"/>
          <w:szCs w:val="22"/>
        </w:rPr>
        <w:t xml:space="preserve">  Este Decreto entra em vigor na data de sua publicação, revogadas as disposições em contrário.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 w:firstLine="710"/>
        <w:jc w:val="both"/>
        <w:rPr>
          <w:sz w:val="22"/>
          <w:szCs w:val="22"/>
        </w:rPr>
      </w:pPr>
    </w:p>
    <w:p w:rsidR="00802570" w:rsidRPr="00802570" w:rsidRDefault="00802570" w:rsidP="00802570">
      <w:pPr>
        <w:pStyle w:val="NormalWeb"/>
        <w:tabs>
          <w:tab w:val="left" w:pos="9214"/>
        </w:tabs>
        <w:ind w:left="-284"/>
        <w:jc w:val="center"/>
        <w:rPr>
          <w:sz w:val="22"/>
          <w:szCs w:val="22"/>
        </w:rPr>
      </w:pPr>
      <w:r w:rsidRPr="00802570">
        <w:rPr>
          <w:sz w:val="22"/>
          <w:szCs w:val="22"/>
        </w:rPr>
        <w:t>Registre-se. Publique-se. Cumpra-se.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/>
        <w:jc w:val="center"/>
        <w:rPr>
          <w:sz w:val="22"/>
          <w:szCs w:val="22"/>
        </w:rPr>
      </w:pPr>
      <w:r w:rsidRPr="00802570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06</w:t>
      </w:r>
      <w:r w:rsidRPr="00802570">
        <w:rPr>
          <w:sz w:val="22"/>
          <w:szCs w:val="22"/>
        </w:rPr>
        <w:t xml:space="preserve"> de setembro de 2017.</w:t>
      </w:r>
    </w:p>
    <w:p w:rsidR="00802570" w:rsidRDefault="00802570" w:rsidP="00802570">
      <w:pPr>
        <w:pStyle w:val="NormalWeb"/>
        <w:tabs>
          <w:tab w:val="left" w:pos="9214"/>
        </w:tabs>
        <w:ind w:left="-284"/>
        <w:jc w:val="center"/>
        <w:rPr>
          <w:sz w:val="22"/>
          <w:szCs w:val="22"/>
        </w:rPr>
      </w:pPr>
    </w:p>
    <w:p w:rsidR="00802570" w:rsidRPr="00802570" w:rsidRDefault="00802570" w:rsidP="00802570">
      <w:pPr>
        <w:pStyle w:val="NormalWeb"/>
        <w:tabs>
          <w:tab w:val="left" w:pos="9214"/>
        </w:tabs>
        <w:ind w:left="-284"/>
        <w:jc w:val="center"/>
        <w:rPr>
          <w:sz w:val="22"/>
          <w:szCs w:val="22"/>
        </w:rPr>
      </w:pPr>
    </w:p>
    <w:p w:rsidR="00802570" w:rsidRPr="00802570" w:rsidRDefault="00802570" w:rsidP="0080257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570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802570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802570" w:rsidRPr="00802570" w:rsidRDefault="00802570" w:rsidP="0080257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  <w:b/>
          <w:i/>
        </w:rPr>
      </w:pPr>
      <w:r w:rsidRPr="00802570">
        <w:rPr>
          <w:rFonts w:ascii="Times New Roman" w:hAnsi="Times New Roman" w:cs="Times New Roman"/>
          <w:b/>
          <w:i/>
        </w:rPr>
        <w:t>“Lívia de Chiquinho”</w:t>
      </w:r>
    </w:p>
    <w:p w:rsidR="00802570" w:rsidRPr="00802570" w:rsidRDefault="00802570" w:rsidP="0080257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  <w:b/>
        </w:rPr>
      </w:pPr>
      <w:r w:rsidRPr="00802570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refeita</w:t>
      </w:r>
    </w:p>
    <w:p w:rsidR="00802570" w:rsidRPr="00802570" w:rsidRDefault="00802570" w:rsidP="00802570">
      <w:pPr>
        <w:pStyle w:val="NormalWeb"/>
        <w:tabs>
          <w:tab w:val="left" w:pos="9214"/>
        </w:tabs>
        <w:ind w:left="-284"/>
        <w:jc w:val="center"/>
        <w:rPr>
          <w:sz w:val="22"/>
          <w:szCs w:val="22"/>
        </w:rPr>
      </w:pPr>
    </w:p>
    <w:p w:rsidR="00802570" w:rsidRPr="00802570" w:rsidRDefault="00802570" w:rsidP="0080257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</w:p>
    <w:p w:rsidR="00802570" w:rsidRPr="00802570" w:rsidRDefault="00802570" w:rsidP="00802570">
      <w:pPr>
        <w:tabs>
          <w:tab w:val="center" w:pos="4536"/>
          <w:tab w:val="left" w:pos="5385"/>
          <w:tab w:val="left" w:pos="9214"/>
        </w:tabs>
        <w:ind w:left="-284" w:firstLine="710"/>
        <w:jc w:val="both"/>
        <w:rPr>
          <w:b/>
          <w:i/>
          <w:sz w:val="22"/>
          <w:szCs w:val="22"/>
        </w:rPr>
      </w:pPr>
    </w:p>
    <w:sectPr w:rsidR="00802570" w:rsidRPr="00802570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03" w:rsidRDefault="00166503" w:rsidP="003620ED">
      <w:r>
        <w:separator/>
      </w:r>
    </w:p>
  </w:endnote>
  <w:endnote w:type="continuationSeparator" w:id="0">
    <w:p w:rsidR="00166503" w:rsidRDefault="0016650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03" w:rsidRDefault="00166503" w:rsidP="003620ED">
      <w:r>
        <w:separator/>
      </w:r>
    </w:p>
  </w:footnote>
  <w:footnote w:type="continuationSeparator" w:id="0">
    <w:p w:rsidR="00166503" w:rsidRDefault="0016650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65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650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65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130625"/>
    <w:rsid w:val="00166503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14CB6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707AFF"/>
    <w:rsid w:val="00710C29"/>
    <w:rsid w:val="00726898"/>
    <w:rsid w:val="00730194"/>
    <w:rsid w:val="0075402E"/>
    <w:rsid w:val="00775429"/>
    <w:rsid w:val="00775B99"/>
    <w:rsid w:val="00783C3B"/>
    <w:rsid w:val="007C024A"/>
    <w:rsid w:val="007D05B0"/>
    <w:rsid w:val="007F1241"/>
    <w:rsid w:val="007F684E"/>
    <w:rsid w:val="00802570"/>
    <w:rsid w:val="00821DB7"/>
    <w:rsid w:val="00827C76"/>
    <w:rsid w:val="00827EB6"/>
    <w:rsid w:val="00860406"/>
    <w:rsid w:val="0089130F"/>
    <w:rsid w:val="008B16EC"/>
    <w:rsid w:val="008B5668"/>
    <w:rsid w:val="008C43D3"/>
    <w:rsid w:val="008D59C4"/>
    <w:rsid w:val="008E6DD9"/>
    <w:rsid w:val="0092761B"/>
    <w:rsid w:val="009645DE"/>
    <w:rsid w:val="0097196D"/>
    <w:rsid w:val="009846BF"/>
    <w:rsid w:val="009E259A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00EED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9FB67B6-B3B3-4094-8450-117AFF2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367B-867B-48F5-A09B-61823B9C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2017-09-06T16:13:00Z</cp:lastPrinted>
  <dcterms:created xsi:type="dcterms:W3CDTF">2018-10-02T14:40:00Z</dcterms:created>
  <dcterms:modified xsi:type="dcterms:W3CDTF">2018-10-02T14:40:00Z</dcterms:modified>
</cp:coreProperties>
</file>