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CD" w:rsidRDefault="001503CD" w:rsidP="001503CD">
      <w:pPr>
        <w:ind w:left="5100"/>
        <w:jc w:val="both"/>
        <w:rPr>
          <w:rFonts w:eastAsia="Arial"/>
          <w:b/>
          <w:i/>
          <w:sz w:val="22"/>
          <w:szCs w:val="22"/>
        </w:rPr>
      </w:pPr>
      <w:bookmarkStart w:id="0" w:name="_GoBack"/>
      <w:bookmarkEnd w:id="0"/>
    </w:p>
    <w:p w:rsidR="001503CD" w:rsidRPr="001503CD" w:rsidRDefault="001503CD" w:rsidP="001503CD">
      <w:pPr>
        <w:ind w:left="-284"/>
        <w:jc w:val="center"/>
        <w:rPr>
          <w:rFonts w:eastAsia="Arial"/>
          <w:b/>
          <w:szCs w:val="24"/>
          <w:u w:val="single"/>
        </w:rPr>
      </w:pPr>
      <w:r>
        <w:rPr>
          <w:rFonts w:eastAsia="Arial"/>
          <w:b/>
          <w:szCs w:val="24"/>
          <w:u w:val="single"/>
        </w:rPr>
        <w:t>DECRETO Nº 153 DE 06 DE NOVEMBRO DE 2017</w:t>
      </w:r>
    </w:p>
    <w:p w:rsidR="001503CD" w:rsidRDefault="001503CD" w:rsidP="001503CD">
      <w:pPr>
        <w:jc w:val="both"/>
        <w:rPr>
          <w:rFonts w:eastAsia="Arial"/>
          <w:b/>
          <w:i/>
          <w:sz w:val="22"/>
          <w:szCs w:val="22"/>
        </w:rPr>
      </w:pPr>
    </w:p>
    <w:p w:rsidR="001503CD" w:rsidRPr="001503CD" w:rsidRDefault="001503CD" w:rsidP="001503CD">
      <w:pPr>
        <w:ind w:left="5100"/>
        <w:jc w:val="both"/>
        <w:rPr>
          <w:rFonts w:eastAsia="Arial"/>
          <w:b/>
          <w:i/>
          <w:szCs w:val="24"/>
        </w:rPr>
      </w:pPr>
      <w:r w:rsidRPr="001503CD">
        <w:rPr>
          <w:rFonts w:eastAsia="Arial"/>
          <w:b/>
          <w:i/>
          <w:szCs w:val="24"/>
        </w:rPr>
        <w:t>Estabelece Calendário de Recolhimento dos Tributos Municipais de Araruama (CATRIMA), a vigorar a partir de 1º de janeiro de 2018.</w:t>
      </w:r>
    </w:p>
    <w:p w:rsidR="001503CD" w:rsidRPr="001503CD" w:rsidRDefault="001503CD" w:rsidP="001503CD">
      <w:pPr>
        <w:jc w:val="both"/>
        <w:rPr>
          <w:szCs w:val="24"/>
        </w:rPr>
      </w:pPr>
    </w:p>
    <w:p w:rsidR="001503CD" w:rsidRPr="002A5AA2" w:rsidRDefault="001503CD" w:rsidP="001503CD">
      <w:pPr>
        <w:jc w:val="both"/>
        <w:rPr>
          <w:sz w:val="22"/>
          <w:szCs w:val="22"/>
        </w:rPr>
      </w:pPr>
      <w:r w:rsidRPr="002A5AA2">
        <w:rPr>
          <w:b/>
          <w:sz w:val="22"/>
          <w:szCs w:val="22"/>
        </w:rPr>
        <w:t xml:space="preserve">     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A Prefeita Municipal de Araruama</w:t>
      </w:r>
      <w:r w:rsidRPr="001503CD">
        <w:rPr>
          <w:szCs w:val="24"/>
        </w:rPr>
        <w:t>,</w:t>
      </w:r>
      <w:r w:rsidRPr="001503CD">
        <w:rPr>
          <w:b/>
          <w:szCs w:val="24"/>
        </w:rPr>
        <w:t xml:space="preserve"> </w:t>
      </w:r>
      <w:r w:rsidRPr="001503CD">
        <w:rPr>
          <w:szCs w:val="24"/>
        </w:rPr>
        <w:t>Estado do Rio de Janeiro, no uso de suas atribuições legais e, com base na Lei Complementar Municipal nº. 23 de 30 de dezembro de 2001 e suas alterações:</w:t>
      </w: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             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Considerando</w:t>
      </w:r>
      <w:r w:rsidRPr="001503CD">
        <w:rPr>
          <w:szCs w:val="24"/>
        </w:rPr>
        <w:t xml:space="preserve"> o disposto no art. 401 do Código Tributário Municipal, aprovado através da Lei Complementar Municipal nº 21 de 30 de dezembro de 2001.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b/>
          <w:szCs w:val="24"/>
        </w:rPr>
      </w:pPr>
      <w:r w:rsidRPr="001503CD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1503C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:</w:t>
      </w:r>
      <w:proofErr w:type="gramEnd"/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 xml:space="preserve">Art. 1º. </w:t>
      </w:r>
      <w:r w:rsidRPr="001503CD">
        <w:rPr>
          <w:szCs w:val="24"/>
        </w:rPr>
        <w:t>Ficam estabelecidas as seguintes datas de</w:t>
      </w:r>
      <w:r w:rsidRPr="001503CD">
        <w:rPr>
          <w:b/>
          <w:szCs w:val="24"/>
        </w:rPr>
        <w:t xml:space="preserve"> </w:t>
      </w:r>
      <w:r w:rsidRPr="001503CD">
        <w:rPr>
          <w:szCs w:val="24"/>
        </w:rPr>
        <w:t>vencimentos dos tributos municipais para o exercício de 2018: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  <w:r w:rsidRPr="00E013F8">
        <w:rPr>
          <w:b/>
          <w:szCs w:val="24"/>
          <w:u w:val="single"/>
        </w:rPr>
        <w:t>I – Do IPTU</w:t>
      </w:r>
      <w:r w:rsidRPr="001503CD">
        <w:rPr>
          <w:b/>
          <w:szCs w:val="24"/>
        </w:rPr>
        <w:t>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Parcela única com vencimento em 25 de janeiro de 2018, com 10% de desconto;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Parcela única com vencimento em 23 de fevereiro de 2018, com 5% de desconto;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1</w:t>
      </w:r>
      <w:r w:rsidRPr="001503CD">
        <w:rPr>
          <w:szCs w:val="24"/>
          <w:vertAlign w:val="superscript"/>
        </w:rPr>
        <w:t>a</w:t>
      </w:r>
      <w:r w:rsidRPr="001503CD">
        <w:rPr>
          <w:szCs w:val="24"/>
        </w:rPr>
        <w:t xml:space="preserve"> parcela com vencimento em 25 de janeiro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2</w:t>
      </w:r>
      <w:r w:rsidRPr="001503CD">
        <w:rPr>
          <w:szCs w:val="24"/>
          <w:vertAlign w:val="superscript"/>
        </w:rPr>
        <w:t>a</w:t>
      </w:r>
      <w:r w:rsidRPr="001503CD">
        <w:rPr>
          <w:szCs w:val="24"/>
        </w:rPr>
        <w:t xml:space="preserve"> parcela com vencimento em 23 de fevereiro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3</w:t>
      </w:r>
      <w:r w:rsidRPr="001503CD">
        <w:rPr>
          <w:szCs w:val="24"/>
          <w:vertAlign w:val="superscript"/>
        </w:rPr>
        <w:t>a</w:t>
      </w:r>
      <w:r w:rsidRPr="001503CD">
        <w:rPr>
          <w:szCs w:val="24"/>
        </w:rPr>
        <w:t xml:space="preserve"> parcela com vencimento em 26 de março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4º parcela com vencimento em 26 de abril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5º parcela com vencimento em 25 de maio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6º parcela com vencimento em 25 de junho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7º parcela com vencimento em 25 de julho de 2018;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8º parcela com vencimento em 24 de agosto de 2018.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9º parcela com vencimento em 24 de setembro de 2018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  <w:r w:rsidRPr="00E013F8">
        <w:rPr>
          <w:b/>
          <w:szCs w:val="24"/>
          <w:u w:val="single"/>
        </w:rPr>
        <w:t>II – Do ISS</w:t>
      </w:r>
      <w:r w:rsidRPr="001503CD">
        <w:rPr>
          <w:b/>
          <w:szCs w:val="24"/>
        </w:rPr>
        <w:t>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1"/>
          <w:numId w:val="2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Faturamento mensal, até o dia 20 (vinte) do mês seguinte da ocorrência do Fato Gerador;</w:t>
      </w:r>
    </w:p>
    <w:p w:rsidR="001503CD" w:rsidRPr="001503CD" w:rsidRDefault="001503CD" w:rsidP="001503CD">
      <w:pPr>
        <w:numPr>
          <w:ilvl w:val="1"/>
          <w:numId w:val="2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As empresas optantes pelo Simples Nacional cumprirão o calendário publicado pela União;</w:t>
      </w:r>
    </w:p>
    <w:p w:rsidR="001503CD" w:rsidRPr="001503CD" w:rsidRDefault="001503CD" w:rsidP="001503CD">
      <w:pPr>
        <w:numPr>
          <w:ilvl w:val="1"/>
          <w:numId w:val="2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Autônomos: 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Cota única com vencimento em 28 de fevereiro de 2018, com 10% de desconto;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- 1ª Cota com vencimento em 28 de fevereiro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- 2ª Cota com vencimento em 27 de abril 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  <w:r w:rsidRPr="00E013F8">
        <w:rPr>
          <w:b/>
          <w:szCs w:val="24"/>
          <w:u w:val="single"/>
        </w:rPr>
        <w:t>III – Das TAXAS</w:t>
      </w:r>
      <w:r w:rsidRPr="001503CD">
        <w:rPr>
          <w:b/>
          <w:szCs w:val="24"/>
        </w:rPr>
        <w:t>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szCs w:val="24"/>
        </w:rPr>
      </w:pPr>
      <w:r w:rsidRPr="001503CD">
        <w:rPr>
          <w:b/>
          <w:szCs w:val="24"/>
          <w:u w:val="single"/>
        </w:rPr>
        <w:lastRenderedPageBreak/>
        <w:t>Taxa de Vigilância Controle e Fiscalização - TVCF</w:t>
      </w:r>
      <w:r w:rsidRPr="001503CD">
        <w:rPr>
          <w:szCs w:val="24"/>
        </w:rPr>
        <w:t>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 </w:t>
      </w:r>
      <w:r w:rsidRPr="001503CD">
        <w:rPr>
          <w:b/>
          <w:szCs w:val="24"/>
        </w:rPr>
        <w:t xml:space="preserve">I – </w:t>
      </w:r>
      <w:r w:rsidRPr="001503CD">
        <w:rPr>
          <w:szCs w:val="24"/>
        </w:rPr>
        <w:t>Cota Única até o dia 28 de fevereiro de 2018, com 10% de desconto;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 –</w:t>
      </w:r>
      <w:r w:rsidRPr="001503CD">
        <w:rPr>
          <w:szCs w:val="24"/>
        </w:rPr>
        <w:t xml:space="preserve"> 1ª Cota com vencimento dia 28 de fevereiro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 –</w:t>
      </w:r>
      <w:r w:rsidRPr="001503CD">
        <w:rPr>
          <w:szCs w:val="24"/>
        </w:rPr>
        <w:t xml:space="preserve"> 2ª Cota com vencimento dia 27 de abril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III –</w:t>
      </w:r>
      <w:r w:rsidRPr="001503CD">
        <w:rPr>
          <w:szCs w:val="24"/>
        </w:rPr>
        <w:t xml:space="preserve"> 3ª Cota com vencimento dia 27 de junho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IV –</w:t>
      </w:r>
      <w:r w:rsidRPr="001503CD">
        <w:rPr>
          <w:szCs w:val="24"/>
        </w:rPr>
        <w:t xml:space="preserve"> 4ª Cota com vencimento dia 27 de agosto 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Licença para Estabelecimento – TL: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Conforme caput e Parágrafo Único do artigo 150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Autorização para exercício de Atividade Eventual ou Ambulante: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Conforme caput do artigo 167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Licenciamento e Fiscalização de Obras e Serviços em logradouros públicos: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Conforme caput e parágrafos do artigo 175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Licença para execução de Obras particular: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 Conforme caput e parágrafos do artigo 181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Licença para uso de área publica: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 Conforme caput e parágrafos do artigo 187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Autorização de Publicidade: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-  Conforme caput e parágrafos do artigo 197 da LC nº 23/2001 – CTM: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I</w:t>
      </w:r>
      <w:r w:rsidRPr="001503CD">
        <w:rPr>
          <w:b/>
          <w:szCs w:val="24"/>
        </w:rPr>
        <w:t xml:space="preserve"> –</w:t>
      </w:r>
      <w:r w:rsidRPr="001503CD">
        <w:rPr>
          <w:szCs w:val="24"/>
        </w:rPr>
        <w:t xml:space="preserve"> 1ª Cota com vencimento dia 30 de março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 –</w:t>
      </w:r>
      <w:r w:rsidRPr="001503CD">
        <w:rPr>
          <w:szCs w:val="24"/>
        </w:rPr>
        <w:t xml:space="preserve"> 2ª Cota com vencimento dia 30 de maio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III –</w:t>
      </w:r>
      <w:r w:rsidRPr="001503CD">
        <w:rPr>
          <w:szCs w:val="24"/>
        </w:rPr>
        <w:t xml:space="preserve"> 3ª Cota com vencimento dia 30 de julho de 2018;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IV –</w:t>
      </w:r>
      <w:r w:rsidRPr="001503CD">
        <w:rPr>
          <w:szCs w:val="24"/>
        </w:rPr>
        <w:t xml:space="preserve"> 4ª Cota com vencimento dia 28 de setembro 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3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Inspeção Sanitária: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 </w:t>
      </w: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 quando da ciência, pelo contribuinte, do despacho que autorizar a emissão do Certificado de Inspeção Sanitária, nos casos de início de atividades;</w:t>
      </w: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 –</w:t>
      </w:r>
      <w:r w:rsidRPr="001503CD">
        <w:rPr>
          <w:szCs w:val="24"/>
        </w:rPr>
        <w:t xml:space="preserve"> até o último dia útil do mês de março dos exercícios subsequentes, pela renovação anual do Certificado de Inspeção Sanitária. 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§1º</w:t>
      </w:r>
      <w:r w:rsidRPr="001503CD">
        <w:rPr>
          <w:szCs w:val="24"/>
        </w:rPr>
        <w:t>  A alteração de atividade subordina-se ao disposto no inciso I, sempre que mantidas as condições estabelecidas pela legislação sanitária para o exercício da nova atividade.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lastRenderedPageBreak/>
        <w:t>§2º</w:t>
      </w:r>
      <w:r w:rsidRPr="001503CD">
        <w:rPr>
          <w:szCs w:val="24"/>
        </w:rPr>
        <w:t> Quando as alterações referidas no §1º  forem requeridas até o último dia do mês de março, somente será exigido, para o ano em curso, o paga</w:t>
      </w:r>
      <w:r w:rsidRPr="001503CD">
        <w:rPr>
          <w:szCs w:val="24"/>
        </w:rPr>
        <w:softHyphen/>
        <w:t>mento da taxa referente às novas características da atividade.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4"/>
        </w:num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Taxa de Transporte de Passageiros – TTP: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1503CD">
        <w:rPr>
          <w:sz w:val="24"/>
          <w:szCs w:val="24"/>
        </w:rPr>
        <w:t>- Cota Única com vencimento em 28 de fevereiro de 2018, com 10% de descontos;</w:t>
      </w:r>
    </w:p>
    <w:p w:rsidR="001503CD" w:rsidRPr="001503CD" w:rsidRDefault="001503CD" w:rsidP="001503C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1503CD">
        <w:rPr>
          <w:sz w:val="24"/>
          <w:szCs w:val="24"/>
        </w:rPr>
        <w:t>- 1ª Cota com vencimento em 28 de fevereiro de 2018;</w:t>
      </w:r>
    </w:p>
    <w:p w:rsidR="001503CD" w:rsidRPr="001503CD" w:rsidRDefault="001503CD" w:rsidP="001503C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1503CD">
        <w:rPr>
          <w:sz w:val="24"/>
          <w:szCs w:val="24"/>
        </w:rPr>
        <w:t>- 2ª Cota com vencimento em 27 de abril de 2018;</w:t>
      </w:r>
    </w:p>
    <w:p w:rsidR="001503CD" w:rsidRPr="001503CD" w:rsidRDefault="001503CD" w:rsidP="001503C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1503CD">
        <w:rPr>
          <w:sz w:val="24"/>
          <w:szCs w:val="24"/>
        </w:rPr>
        <w:t>- 3ª Cota com vencimento em 29 de junho de 2018;</w:t>
      </w:r>
    </w:p>
    <w:p w:rsidR="001503CD" w:rsidRPr="001503CD" w:rsidRDefault="001503CD" w:rsidP="001503C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1503CD">
        <w:rPr>
          <w:sz w:val="24"/>
          <w:szCs w:val="24"/>
        </w:rPr>
        <w:t>- 4ª Cota com vencimento em 29 de agosto 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 xml:space="preserve">j) Taxa de Licença Ambiental – </w:t>
      </w:r>
      <w:proofErr w:type="gramStart"/>
      <w:r w:rsidRPr="001503CD">
        <w:rPr>
          <w:b/>
          <w:szCs w:val="24"/>
          <w:u w:val="single"/>
        </w:rPr>
        <w:t>TLA :</w:t>
      </w:r>
      <w:proofErr w:type="gramEnd"/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-</w:t>
      </w:r>
      <w:r w:rsidRPr="001503CD">
        <w:rPr>
          <w:szCs w:val="24"/>
        </w:rPr>
        <w:t xml:space="preserve">  A Taxa deverá ser recolhida previamente ao pedido da licença ou de sua renovação, sendo seu pagamento pressuposto para análise dos projetos.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II –</w:t>
      </w:r>
      <w:r w:rsidRPr="001503CD">
        <w:rPr>
          <w:szCs w:val="24"/>
        </w:rPr>
        <w:t xml:space="preserve"> Fica determinado que a renovação  seja realizada até o dia 28 de fevereiro de 2018, obedecendo ao disposto no </w:t>
      </w:r>
      <w:r w:rsidRPr="001503CD">
        <w:rPr>
          <w:b/>
          <w:szCs w:val="24"/>
        </w:rPr>
        <w:t>§</w:t>
      </w:r>
      <w:r w:rsidRPr="001503CD">
        <w:rPr>
          <w:szCs w:val="24"/>
        </w:rPr>
        <w:t>2º  do artigo 215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l) Taxa de Fiscalização de Cemitérios: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O pagamento da taxa deverá ser efetuado até o dia 10 (dez) do mês subsequente ao da ocorrência do fato gerador, conforme:</w:t>
      </w:r>
    </w:p>
    <w:p w:rsidR="001503CD" w:rsidRPr="001503CD" w:rsidRDefault="001503CD" w:rsidP="001503CD">
      <w:pPr>
        <w:numPr>
          <w:ilvl w:val="0"/>
          <w:numId w:val="6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Por sepultamento, excluídos os de indigentes ou de pessoas carentes, assim definidos em ato do Poder Executivo;</w:t>
      </w:r>
    </w:p>
    <w:p w:rsidR="001503CD" w:rsidRPr="001503CD" w:rsidRDefault="001503CD" w:rsidP="001503CD">
      <w:pPr>
        <w:numPr>
          <w:ilvl w:val="0"/>
          <w:numId w:val="6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Sobre o valor do contrato instituindo direitos sobre sepulturas, ossuários e nichos.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m) Taxa de Expediente: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Conforme caput e parágrafos do artigo 270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n) Taxa de Serviços Funerários: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>I – Os serviços previstos no Item III do artigo 268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Subitem a, b e d, terão seus vencimentos: </w:t>
      </w: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1ª Cota dia 28 de fevereiro de 2018, </w:t>
      </w: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2ª Cota dia 30 de março de 2018; </w:t>
      </w: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3ª Cota dia 30 de abril de 2018 e </w:t>
      </w: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4ª Cota dia 30 de maio de 2018.</w:t>
      </w:r>
    </w:p>
    <w:p w:rsidR="001503CD" w:rsidRPr="001503CD" w:rsidRDefault="001503CD" w:rsidP="001503CD">
      <w:pPr>
        <w:numPr>
          <w:ilvl w:val="0"/>
          <w:numId w:val="7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>Quanto aos demais Subitens do Item III, e Item I, II e IV do artigo 268 da LC nº 23/2001 – CTM, serão em Cota Única, com vencimento em 27 de fevereiro 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o) Taxa de Apreensão e Deposito de Bem Móvel Semoventes e Mercadorias: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Conforme caput dos artigos 274 c/c 275 e 276 da LC nº 23/2001 – CTM.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p) Taxa de Coleta e Destinação Final de Lixo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Conforme caput e parágrafos do artigo 229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q) Taxa de Serviços Urbanos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I –</w:t>
      </w:r>
      <w:r w:rsidRPr="001503CD">
        <w:rPr>
          <w:szCs w:val="24"/>
        </w:rPr>
        <w:t xml:space="preserve"> Conforme caput dos artigos 236 c/c 237 c/c 238 da LC nº 23/2001 – CTM.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1503CD">
        <w:rPr>
          <w:b/>
          <w:szCs w:val="24"/>
          <w:u w:val="single"/>
        </w:rPr>
        <w:t>r) Taxa de Manutenção de Rede de Iluminação Pública - TMRI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  <w:u w:val="single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 xml:space="preserve">I </w:t>
      </w:r>
      <w:r w:rsidRPr="001503CD">
        <w:rPr>
          <w:szCs w:val="24"/>
        </w:rPr>
        <w:t>- Conforme caput e parágrafos do artigo 246 c/c 247 e parágrafo único c/c 248 da LC nº 23/2001 – CTM.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</w:p>
    <w:p w:rsidR="001503CD" w:rsidRPr="00E013F8" w:rsidRDefault="001503CD" w:rsidP="001503CD">
      <w:pPr>
        <w:ind w:left="-284" w:firstLine="710"/>
        <w:jc w:val="both"/>
        <w:rPr>
          <w:b/>
          <w:szCs w:val="24"/>
          <w:u w:val="single"/>
        </w:rPr>
      </w:pPr>
      <w:r w:rsidRPr="00E013F8">
        <w:rPr>
          <w:b/>
          <w:szCs w:val="24"/>
          <w:u w:val="single"/>
        </w:rPr>
        <w:t>IV – CONTRIBUIÇÃO DE MELHORIAS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  <w:r w:rsidRPr="001503CD">
        <w:rPr>
          <w:b/>
          <w:szCs w:val="24"/>
        </w:rPr>
        <w:t xml:space="preserve">I – </w:t>
      </w:r>
      <w:r w:rsidRPr="001503CD">
        <w:rPr>
          <w:szCs w:val="24"/>
        </w:rPr>
        <w:t>Conforme caput e parágrafos e incisos dos artigos do Título V, do Livro Primeiro da LC nº 23/2001 – CTM</w:t>
      </w:r>
      <w:r w:rsidRPr="001503CD">
        <w:rPr>
          <w:b/>
          <w:szCs w:val="24"/>
        </w:rPr>
        <w:t>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 xml:space="preserve">Art. 2º. </w:t>
      </w:r>
      <w:r w:rsidRPr="001503CD">
        <w:rPr>
          <w:szCs w:val="24"/>
        </w:rPr>
        <w:t>Este Decreto entra em vigor na data de sua publicação com seus efeitos a partir de 1º de janeiro</w:t>
      </w:r>
      <w:r w:rsidRPr="001503CD">
        <w:rPr>
          <w:b/>
          <w:szCs w:val="24"/>
        </w:rPr>
        <w:t xml:space="preserve"> </w:t>
      </w:r>
      <w:r w:rsidRPr="001503CD">
        <w:rPr>
          <w:szCs w:val="24"/>
        </w:rPr>
        <w:t>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szCs w:val="24"/>
        </w:rPr>
        <w:t>Registre-se. Publique-se. Cumpra-se.</w:t>
      </w: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szCs w:val="24"/>
        </w:rPr>
        <w:t>Gabinete da Prefeita,</w:t>
      </w:r>
      <w:r>
        <w:rPr>
          <w:szCs w:val="24"/>
        </w:rPr>
        <w:t xml:space="preserve"> 06 de novembro de 2017</w:t>
      </w:r>
    </w:p>
    <w:p w:rsidR="001503CD" w:rsidRDefault="001503CD" w:rsidP="001503CD">
      <w:pPr>
        <w:ind w:left="-284"/>
        <w:jc w:val="center"/>
        <w:rPr>
          <w:szCs w:val="24"/>
        </w:rPr>
      </w:pPr>
    </w:p>
    <w:p w:rsid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b/>
          <w:i/>
          <w:sz w:val="28"/>
          <w:szCs w:val="28"/>
        </w:rPr>
      </w:pPr>
      <w:r w:rsidRPr="001503CD">
        <w:rPr>
          <w:b/>
          <w:i/>
          <w:sz w:val="28"/>
          <w:szCs w:val="28"/>
        </w:rPr>
        <w:t xml:space="preserve">Lívia </w:t>
      </w:r>
      <w:proofErr w:type="spellStart"/>
      <w:r w:rsidRPr="001503CD">
        <w:rPr>
          <w:b/>
          <w:i/>
          <w:sz w:val="28"/>
          <w:szCs w:val="28"/>
        </w:rPr>
        <w:t>Bello</w:t>
      </w:r>
      <w:proofErr w:type="spellEnd"/>
    </w:p>
    <w:p w:rsidR="001503CD" w:rsidRPr="001503CD" w:rsidRDefault="001503CD" w:rsidP="001503CD">
      <w:pPr>
        <w:ind w:left="-284"/>
        <w:jc w:val="center"/>
        <w:rPr>
          <w:b/>
          <w:szCs w:val="24"/>
        </w:rPr>
      </w:pPr>
      <w:r w:rsidRPr="001503CD">
        <w:rPr>
          <w:b/>
          <w:szCs w:val="24"/>
        </w:rPr>
        <w:t>“Lívia de Chiquinho”</w:t>
      </w: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b/>
          <w:szCs w:val="24"/>
        </w:rPr>
        <w:t>Prefeita</w:t>
      </w:r>
    </w:p>
    <w:p w:rsidR="008B16EC" w:rsidRPr="001503CD" w:rsidRDefault="008B16EC" w:rsidP="001503CD">
      <w:pPr>
        <w:jc w:val="center"/>
        <w:rPr>
          <w:szCs w:val="24"/>
        </w:rPr>
      </w:pPr>
    </w:p>
    <w:sectPr w:rsidR="008B16EC" w:rsidRPr="001503CD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29" w:rsidRDefault="00E91129" w:rsidP="003620ED">
      <w:r>
        <w:separator/>
      </w:r>
    </w:p>
  </w:endnote>
  <w:endnote w:type="continuationSeparator" w:id="0">
    <w:p w:rsidR="00E91129" w:rsidRDefault="00E911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29" w:rsidRDefault="00E91129" w:rsidP="003620ED">
      <w:r>
        <w:separator/>
      </w:r>
    </w:p>
  </w:footnote>
  <w:footnote w:type="continuationSeparator" w:id="0">
    <w:p w:rsidR="00E91129" w:rsidRDefault="00E911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1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1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1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503CD"/>
    <w:rsid w:val="00181540"/>
    <w:rsid w:val="001846B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1325B"/>
    <w:rsid w:val="00421382"/>
    <w:rsid w:val="00426029"/>
    <w:rsid w:val="004326CD"/>
    <w:rsid w:val="004B32EC"/>
    <w:rsid w:val="004D09DD"/>
    <w:rsid w:val="004E099E"/>
    <w:rsid w:val="004F33C7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23F6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013F8"/>
    <w:rsid w:val="00E42A97"/>
    <w:rsid w:val="00E45A32"/>
    <w:rsid w:val="00E535DB"/>
    <w:rsid w:val="00E6536E"/>
    <w:rsid w:val="00E74FB2"/>
    <w:rsid w:val="00E91129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116139-65C0-48AE-AD5D-1BB5A2C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1BB8-2E8D-4702-91EA-874D9BF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2018-10-02T14:55:00Z</dcterms:created>
  <dcterms:modified xsi:type="dcterms:W3CDTF">2018-10-02T14:55:00Z</dcterms:modified>
</cp:coreProperties>
</file>