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954BD" w:rsidRPr="000954BD" w:rsidRDefault="00D57E6A" w:rsidP="00E44B8A">
      <w:pPr>
        <w:ind w:left="-284" w:right="-568"/>
        <w:jc w:val="center"/>
        <w:rPr>
          <w:rFonts w:eastAsiaTheme="minorHAnsi"/>
          <w:b/>
          <w:szCs w:val="24"/>
        </w:rPr>
      </w:pPr>
      <w:r>
        <w:fldChar w:fldCharType="begin"/>
      </w:r>
      <w:r>
        <w:instrText xml:space="preserve"> HYPERLINK "http://legislacao.planalto.gov.br/legisla/legislacao.nsf/Viw_Identificacao/DEC%207.892-2013?OpenDocument" </w:instrText>
      </w:r>
      <w:r>
        <w:fldChar w:fldCharType="separate"/>
      </w:r>
      <w:r w:rsidR="000954BD" w:rsidRPr="000954BD">
        <w:rPr>
          <w:rFonts w:eastAsiaTheme="minorHAnsi"/>
          <w:b/>
          <w:szCs w:val="24"/>
          <w:u w:val="single"/>
        </w:rPr>
        <w:t xml:space="preserve">DECRETO Nº </w:t>
      </w:r>
      <w:r w:rsidR="00542DC7">
        <w:rPr>
          <w:rFonts w:eastAsiaTheme="minorHAnsi"/>
          <w:b/>
          <w:szCs w:val="24"/>
          <w:u w:val="single"/>
        </w:rPr>
        <w:t>037</w:t>
      </w:r>
      <w:r w:rsidR="000954BD" w:rsidRPr="000954BD">
        <w:rPr>
          <w:rFonts w:eastAsiaTheme="minorHAnsi"/>
          <w:b/>
          <w:szCs w:val="24"/>
          <w:u w:val="single"/>
        </w:rPr>
        <w:t xml:space="preserve"> DE </w:t>
      </w:r>
      <w:r w:rsidR="00542DC7">
        <w:rPr>
          <w:rFonts w:eastAsiaTheme="minorHAnsi"/>
          <w:b/>
          <w:szCs w:val="24"/>
          <w:u w:val="single"/>
        </w:rPr>
        <w:t>26</w:t>
      </w:r>
      <w:r w:rsidR="000954BD" w:rsidRPr="000954BD">
        <w:rPr>
          <w:rFonts w:eastAsiaTheme="minorHAnsi"/>
          <w:b/>
          <w:szCs w:val="24"/>
          <w:u w:val="single"/>
        </w:rPr>
        <w:t xml:space="preserve"> DE </w:t>
      </w:r>
      <w:r w:rsidR="009B10E2">
        <w:rPr>
          <w:rFonts w:eastAsiaTheme="minorHAnsi"/>
          <w:b/>
          <w:szCs w:val="24"/>
          <w:u w:val="single"/>
        </w:rPr>
        <w:t>MARÇO</w:t>
      </w:r>
      <w:r w:rsidR="000954BD" w:rsidRPr="000954BD">
        <w:rPr>
          <w:rFonts w:eastAsiaTheme="minorHAnsi"/>
          <w:b/>
          <w:szCs w:val="24"/>
          <w:u w:val="single"/>
        </w:rPr>
        <w:t xml:space="preserve"> DE 201</w:t>
      </w:r>
      <w:r w:rsidR="00B31AE0">
        <w:rPr>
          <w:rFonts w:eastAsiaTheme="minorHAnsi"/>
          <w:b/>
          <w:szCs w:val="24"/>
          <w:u w:val="single"/>
        </w:rPr>
        <w:t>9</w:t>
      </w:r>
      <w:r>
        <w:rPr>
          <w:rFonts w:eastAsiaTheme="minorHAnsi"/>
          <w:b/>
          <w:szCs w:val="24"/>
          <w:u w:val="single"/>
        </w:rPr>
        <w:fldChar w:fldCharType="end"/>
      </w:r>
    </w:p>
    <w:p w:rsidR="000954BD" w:rsidRPr="00E44B8A" w:rsidRDefault="000954BD" w:rsidP="000954BD">
      <w:pPr>
        <w:ind w:right="-568"/>
        <w:jc w:val="both"/>
        <w:rPr>
          <w:rFonts w:eastAsiaTheme="minorHAnsi"/>
          <w:b/>
          <w:i/>
          <w:sz w:val="16"/>
          <w:szCs w:val="16"/>
        </w:rPr>
      </w:pPr>
    </w:p>
    <w:p w:rsidR="000954BD" w:rsidRPr="000954BD" w:rsidRDefault="000954BD" w:rsidP="00E44B8A">
      <w:pPr>
        <w:ind w:left="3402" w:right="-568"/>
        <w:jc w:val="center"/>
        <w:rPr>
          <w:rFonts w:eastAsiaTheme="minorHAnsi"/>
          <w:b/>
          <w:i/>
          <w:szCs w:val="24"/>
        </w:rPr>
      </w:pPr>
      <w:r w:rsidRPr="000954BD">
        <w:rPr>
          <w:rFonts w:eastAsiaTheme="minorHAnsi"/>
          <w:b/>
          <w:i/>
          <w:szCs w:val="24"/>
        </w:rPr>
        <w:t>“</w:t>
      </w:r>
      <w:r w:rsidR="00532139">
        <w:rPr>
          <w:rFonts w:eastAsiaTheme="minorHAnsi"/>
          <w:b/>
          <w:i/>
          <w:szCs w:val="24"/>
        </w:rPr>
        <w:t xml:space="preserve">Determina </w:t>
      </w:r>
      <w:r w:rsidR="007F4F46">
        <w:rPr>
          <w:rFonts w:eastAsiaTheme="minorHAnsi"/>
          <w:b/>
          <w:i/>
          <w:szCs w:val="24"/>
        </w:rPr>
        <w:t xml:space="preserve">o cumprimento da Decisão Prolatada pelo STF no RE 789.218 sobre </w:t>
      </w:r>
      <w:r w:rsidR="00B31AE0">
        <w:rPr>
          <w:rFonts w:eastAsiaTheme="minorHAnsi"/>
          <w:b/>
          <w:i/>
          <w:szCs w:val="24"/>
        </w:rPr>
        <w:t>a Cobrança da Taxa de Expediente para Emissão de Guia para Pagamento de Tributos”</w:t>
      </w:r>
    </w:p>
    <w:p w:rsidR="000954BD" w:rsidRPr="00E44B8A" w:rsidRDefault="000954BD" w:rsidP="000954BD">
      <w:pPr>
        <w:ind w:right="-568" w:firstLine="1701"/>
        <w:jc w:val="both"/>
        <w:rPr>
          <w:rFonts w:eastAsiaTheme="minorHAnsi"/>
          <w:b/>
          <w:bCs/>
          <w:sz w:val="16"/>
          <w:szCs w:val="16"/>
        </w:rPr>
      </w:pPr>
    </w:p>
    <w:p w:rsidR="00EA0CEA" w:rsidRDefault="000954BD" w:rsidP="00E44B8A">
      <w:pPr>
        <w:ind w:left="-284" w:right="-852" w:firstLine="710"/>
        <w:jc w:val="both"/>
        <w:rPr>
          <w:rFonts w:eastAsiaTheme="minorHAnsi"/>
          <w:szCs w:val="24"/>
        </w:rPr>
      </w:pPr>
      <w:r w:rsidRPr="000954BD">
        <w:rPr>
          <w:rFonts w:eastAsiaTheme="minorHAnsi"/>
          <w:b/>
          <w:bCs/>
          <w:szCs w:val="24"/>
        </w:rPr>
        <w:t>A PREFEITA MUNICIPAL DE ARARUAMA,</w:t>
      </w:r>
      <w:r w:rsidRPr="000954BD">
        <w:rPr>
          <w:rFonts w:eastAsiaTheme="minorHAnsi"/>
          <w:szCs w:val="24"/>
        </w:rPr>
        <w:t> no uso da</w:t>
      </w:r>
      <w:r w:rsidR="00B31AE0">
        <w:rPr>
          <w:rFonts w:eastAsiaTheme="minorHAnsi"/>
          <w:szCs w:val="24"/>
        </w:rPr>
        <w:t>s</w:t>
      </w:r>
      <w:r w:rsidRPr="000954BD">
        <w:rPr>
          <w:rFonts w:eastAsiaTheme="minorHAnsi"/>
          <w:szCs w:val="24"/>
        </w:rPr>
        <w:t xml:space="preserve"> atribuições e competência que lhe são conferidas por Lei, especialmente o que dispõe o art. 69, </w:t>
      </w:r>
      <w:r w:rsidRPr="000954BD">
        <w:rPr>
          <w:rFonts w:eastAsiaTheme="minorHAnsi"/>
          <w:b/>
          <w:bCs/>
          <w:i/>
          <w:szCs w:val="24"/>
        </w:rPr>
        <w:t>caput</w:t>
      </w:r>
      <w:r w:rsidRPr="000954BD">
        <w:rPr>
          <w:rFonts w:eastAsiaTheme="minorHAnsi"/>
          <w:b/>
          <w:bCs/>
          <w:szCs w:val="24"/>
        </w:rPr>
        <w:t>,</w:t>
      </w:r>
      <w:r w:rsidRPr="000954BD">
        <w:rPr>
          <w:rFonts w:eastAsiaTheme="minorHAnsi"/>
          <w:szCs w:val="24"/>
        </w:rPr>
        <w:t> incisos VII e XVI, da Lei Orgânica do Município</w:t>
      </w:r>
      <w:r w:rsidR="00EA0CEA">
        <w:rPr>
          <w:rFonts w:eastAsiaTheme="minorHAnsi"/>
          <w:szCs w:val="24"/>
        </w:rPr>
        <w:t>;</w:t>
      </w:r>
    </w:p>
    <w:p w:rsidR="00EA0CEA" w:rsidRDefault="00EA0CEA" w:rsidP="00E44B8A">
      <w:pPr>
        <w:ind w:left="-284" w:right="-852" w:firstLine="710"/>
        <w:jc w:val="both"/>
        <w:rPr>
          <w:rFonts w:eastAsiaTheme="minorHAnsi"/>
          <w:szCs w:val="24"/>
        </w:rPr>
      </w:pPr>
    </w:p>
    <w:p w:rsidR="000954BD" w:rsidRDefault="000954BD" w:rsidP="00E44B8A">
      <w:pPr>
        <w:ind w:left="-284" w:right="-852" w:firstLine="710"/>
        <w:jc w:val="both"/>
        <w:rPr>
          <w:rFonts w:eastAsiaTheme="minorHAnsi"/>
          <w:sz w:val="16"/>
          <w:szCs w:val="16"/>
        </w:rPr>
      </w:pPr>
      <w:r w:rsidRPr="000954BD">
        <w:rPr>
          <w:rFonts w:eastAsiaTheme="minorHAnsi"/>
          <w:b/>
          <w:szCs w:val="24"/>
        </w:rPr>
        <w:t xml:space="preserve">CONSIDERANDO </w:t>
      </w:r>
      <w:r w:rsidRPr="000954BD">
        <w:rPr>
          <w:rFonts w:eastAsiaTheme="minorHAnsi"/>
          <w:szCs w:val="24"/>
        </w:rPr>
        <w:t>a</w:t>
      </w:r>
      <w:r w:rsidR="00EA0CEA">
        <w:rPr>
          <w:rFonts w:eastAsiaTheme="minorHAnsi"/>
          <w:szCs w:val="24"/>
        </w:rPr>
        <w:t xml:space="preserve"> Decisão da Suprema Corte de Justiça em sede de Repercussão Geral no Recurso Extraordinário nº 789.218 em foi Relator o Ministro Dias </w:t>
      </w:r>
      <w:proofErr w:type="spellStart"/>
      <w:r w:rsidR="00EA0CEA">
        <w:rPr>
          <w:rFonts w:eastAsiaTheme="minorHAnsi"/>
          <w:szCs w:val="24"/>
        </w:rPr>
        <w:t>Toffoli</w:t>
      </w:r>
      <w:proofErr w:type="spellEnd"/>
      <w:r w:rsidRPr="000954BD">
        <w:rPr>
          <w:rFonts w:eastAsiaTheme="minorHAnsi"/>
          <w:szCs w:val="24"/>
        </w:rPr>
        <w:t>;</w:t>
      </w:r>
    </w:p>
    <w:p w:rsidR="00E44B8A" w:rsidRPr="00E44B8A" w:rsidRDefault="00E44B8A" w:rsidP="00E44B8A">
      <w:pPr>
        <w:ind w:left="-284" w:right="-852" w:firstLine="710"/>
        <w:jc w:val="both"/>
        <w:rPr>
          <w:rFonts w:eastAsiaTheme="minorHAnsi"/>
          <w:sz w:val="16"/>
          <w:szCs w:val="16"/>
        </w:rPr>
      </w:pPr>
    </w:p>
    <w:p w:rsidR="000C615D" w:rsidRPr="000C615D" w:rsidRDefault="000C615D" w:rsidP="00E44B8A">
      <w:pPr>
        <w:ind w:left="-284" w:right="-852" w:firstLine="710"/>
        <w:jc w:val="both"/>
        <w:rPr>
          <w:rFonts w:eastAsiaTheme="minorHAnsi"/>
          <w:szCs w:val="24"/>
        </w:rPr>
      </w:pPr>
      <w:r w:rsidRPr="000C615D">
        <w:rPr>
          <w:rFonts w:eastAsiaTheme="minorHAnsi"/>
          <w:b/>
          <w:szCs w:val="24"/>
        </w:rPr>
        <w:t>CONSIDERANDO</w:t>
      </w:r>
      <w:r>
        <w:rPr>
          <w:rFonts w:eastAsiaTheme="minorHAnsi"/>
          <w:b/>
          <w:szCs w:val="24"/>
        </w:rPr>
        <w:t xml:space="preserve"> </w:t>
      </w:r>
      <w:r>
        <w:rPr>
          <w:rFonts w:eastAsiaTheme="minorHAnsi"/>
          <w:szCs w:val="24"/>
        </w:rPr>
        <w:t>que, nos termos do Art. 406 do CTM, instituído pela Lei Complementar nº 023 de 31 de dezembro de 2001, o Poder Executivo está autorizado a regulamentar, no que for necessário, as disposições daquela Lei, podendo, para tanto, expedir, inclusive separadamente, os regulamentos dos diversos tributos;</w:t>
      </w:r>
    </w:p>
    <w:p w:rsidR="000954BD" w:rsidRPr="000954BD" w:rsidRDefault="000954BD" w:rsidP="000954BD">
      <w:pPr>
        <w:ind w:right="-568" w:firstLine="1701"/>
        <w:jc w:val="both"/>
        <w:rPr>
          <w:rFonts w:eastAsiaTheme="minorHAnsi"/>
          <w:szCs w:val="24"/>
        </w:rPr>
      </w:pPr>
    </w:p>
    <w:p w:rsidR="000954BD" w:rsidRPr="00E44B8A" w:rsidRDefault="000954BD" w:rsidP="000954BD">
      <w:pPr>
        <w:ind w:right="-568"/>
        <w:jc w:val="center"/>
        <w:rPr>
          <w:b/>
          <w:bCs/>
          <w:color w:val="000000"/>
          <w:szCs w:val="24"/>
        </w:rPr>
      </w:pPr>
      <w:r w:rsidRPr="00E44B8A">
        <w:rPr>
          <w:b/>
          <w:bCs/>
          <w:color w:val="000000"/>
          <w:szCs w:val="24"/>
        </w:rPr>
        <w:t>D E C R E T A:</w:t>
      </w:r>
      <w:bookmarkStart w:id="1" w:name="capituloi"/>
      <w:bookmarkEnd w:id="1"/>
    </w:p>
    <w:p w:rsidR="000954BD" w:rsidRDefault="000954BD" w:rsidP="000954BD">
      <w:pPr>
        <w:ind w:right="-568"/>
        <w:jc w:val="both"/>
        <w:rPr>
          <w:b/>
          <w:szCs w:val="24"/>
        </w:rPr>
      </w:pPr>
      <w:bookmarkStart w:id="2" w:name="art1"/>
      <w:bookmarkEnd w:id="2"/>
    </w:p>
    <w:p w:rsidR="00EA0CEA" w:rsidRDefault="000954BD" w:rsidP="00E44B8A">
      <w:pPr>
        <w:ind w:right="-568" w:firstLine="426"/>
        <w:jc w:val="both"/>
        <w:rPr>
          <w:sz w:val="16"/>
          <w:szCs w:val="16"/>
        </w:rPr>
      </w:pPr>
      <w:r w:rsidRPr="000954BD">
        <w:rPr>
          <w:b/>
          <w:szCs w:val="24"/>
        </w:rPr>
        <w:t xml:space="preserve">Art. </w:t>
      </w:r>
      <w:r w:rsidR="000C615D">
        <w:rPr>
          <w:b/>
          <w:szCs w:val="24"/>
        </w:rPr>
        <w:t>1º.</w:t>
      </w:r>
      <w:r w:rsidRPr="000954BD">
        <w:rPr>
          <w:szCs w:val="24"/>
        </w:rPr>
        <w:t> </w:t>
      </w:r>
      <w:r w:rsidR="00EA0CEA">
        <w:rPr>
          <w:szCs w:val="24"/>
        </w:rPr>
        <w:t>O Município de Araruama, Estado do Rio de Janeiro, re</w:t>
      </w:r>
      <w:r w:rsidR="007F4F46">
        <w:rPr>
          <w:szCs w:val="24"/>
        </w:rPr>
        <w:t xml:space="preserve">gulamenta o cumprimento da Decisão do Superior Tribunal de Justiça – STF no Recurso Extraordinário nº 789.218, sobre </w:t>
      </w:r>
      <w:r w:rsidR="00EA0CEA">
        <w:rPr>
          <w:szCs w:val="24"/>
        </w:rPr>
        <w:t>a Cobrança da Taxa de Expediente para Emissão de Guia para Pagamento de Tributos</w:t>
      </w:r>
      <w:r w:rsidR="00E44B8A">
        <w:rPr>
          <w:szCs w:val="24"/>
        </w:rPr>
        <w:t>.</w:t>
      </w:r>
    </w:p>
    <w:p w:rsidR="00E44B8A" w:rsidRPr="00E44B8A" w:rsidRDefault="00E44B8A" w:rsidP="00E44B8A">
      <w:pPr>
        <w:ind w:right="-568" w:firstLine="426"/>
        <w:jc w:val="both"/>
        <w:rPr>
          <w:sz w:val="16"/>
          <w:szCs w:val="16"/>
        </w:rPr>
      </w:pPr>
    </w:p>
    <w:p w:rsidR="00DA0D93" w:rsidRDefault="000954BD" w:rsidP="00E44B8A">
      <w:pPr>
        <w:ind w:right="-568" w:firstLine="426"/>
        <w:jc w:val="both"/>
        <w:rPr>
          <w:szCs w:val="24"/>
        </w:rPr>
      </w:pPr>
      <w:r w:rsidRPr="000954BD">
        <w:rPr>
          <w:b/>
          <w:szCs w:val="24"/>
        </w:rPr>
        <w:t>Art. 2</w:t>
      </w:r>
      <w:r w:rsidR="000C615D">
        <w:rPr>
          <w:b/>
          <w:szCs w:val="24"/>
        </w:rPr>
        <w:t>°.</w:t>
      </w:r>
      <w:r w:rsidRPr="000954BD">
        <w:rPr>
          <w:szCs w:val="24"/>
        </w:rPr>
        <w:t> </w:t>
      </w:r>
      <w:r w:rsidR="00EA0CEA">
        <w:rPr>
          <w:szCs w:val="24"/>
        </w:rPr>
        <w:t xml:space="preserve">Determina aos órgãos de cobrança e arrecadação da Fazenda Municipal e bem assim ao Departamento da Dívida Ativa da Procuradoria Geral que </w:t>
      </w:r>
      <w:r w:rsidR="0071101E">
        <w:rPr>
          <w:szCs w:val="24"/>
        </w:rPr>
        <w:t>não mais inclua</w:t>
      </w:r>
      <w:r w:rsidR="00DA0D93">
        <w:rPr>
          <w:szCs w:val="24"/>
        </w:rPr>
        <w:t>m</w:t>
      </w:r>
      <w:r w:rsidR="0071101E">
        <w:rPr>
          <w:szCs w:val="24"/>
        </w:rPr>
        <w:t xml:space="preserve"> nas guias </w:t>
      </w:r>
      <w:r w:rsidR="00DA0D93">
        <w:rPr>
          <w:szCs w:val="24"/>
        </w:rPr>
        <w:t xml:space="preserve">emitidas para recolhimento </w:t>
      </w:r>
      <w:r w:rsidR="0071101E">
        <w:rPr>
          <w:szCs w:val="24"/>
        </w:rPr>
        <w:t xml:space="preserve">de impostos, taxas de </w:t>
      </w:r>
      <w:r w:rsidR="00DA0D93">
        <w:rPr>
          <w:szCs w:val="24"/>
        </w:rPr>
        <w:t>quaisquer naturezas</w:t>
      </w:r>
      <w:r w:rsidR="0071101E">
        <w:rPr>
          <w:szCs w:val="24"/>
        </w:rPr>
        <w:t>, contribuições e outros encargos e/ou emolumentos as Taxas de Expediente</w:t>
      </w:r>
      <w:r w:rsidR="00DA0D93">
        <w:rPr>
          <w:szCs w:val="24"/>
        </w:rPr>
        <w:t xml:space="preserve"> de que tratam os </w:t>
      </w:r>
      <w:proofErr w:type="spellStart"/>
      <w:r w:rsidR="00DA0D93">
        <w:rPr>
          <w:szCs w:val="24"/>
        </w:rPr>
        <w:t>nºs</w:t>
      </w:r>
      <w:proofErr w:type="spellEnd"/>
      <w:r w:rsidR="00DA0D93">
        <w:rPr>
          <w:szCs w:val="24"/>
        </w:rPr>
        <w:t xml:space="preserve"> 11 (onze) e 12 (doze) da Tabela do Art. </w:t>
      </w:r>
      <w:r w:rsidR="00DA0D93" w:rsidRPr="00542DC7">
        <w:rPr>
          <w:b/>
          <w:szCs w:val="24"/>
        </w:rPr>
        <w:t>259</w:t>
      </w:r>
      <w:r w:rsidR="00DA0D93">
        <w:rPr>
          <w:szCs w:val="24"/>
        </w:rPr>
        <w:t xml:space="preserve"> </w:t>
      </w:r>
      <w:r w:rsidR="000C615D">
        <w:rPr>
          <w:szCs w:val="24"/>
        </w:rPr>
        <w:t>do Código Tributário Municipal</w:t>
      </w:r>
      <w:r w:rsidR="00542DC7">
        <w:rPr>
          <w:szCs w:val="24"/>
        </w:rPr>
        <w:t xml:space="preserve">, as quais em face das alterações inseridas pela Lei Complementar nº 128, de 29 de setembro de 2017, foram renumeradas e passaram para os </w:t>
      </w:r>
      <w:proofErr w:type="spellStart"/>
      <w:r w:rsidR="00542DC7">
        <w:rPr>
          <w:szCs w:val="24"/>
        </w:rPr>
        <w:t>nºs</w:t>
      </w:r>
      <w:proofErr w:type="spellEnd"/>
      <w:r w:rsidR="00542DC7">
        <w:rPr>
          <w:szCs w:val="24"/>
        </w:rPr>
        <w:t xml:space="preserve"> 14 (quatorze) e 15 (quinze) da Tabela do Art. </w:t>
      </w:r>
      <w:r w:rsidR="00542DC7">
        <w:rPr>
          <w:b/>
          <w:szCs w:val="24"/>
        </w:rPr>
        <w:t xml:space="preserve">259 </w:t>
      </w:r>
      <w:r w:rsidR="00542DC7">
        <w:rPr>
          <w:szCs w:val="24"/>
        </w:rPr>
        <w:t>do Código Tributário Municipal.</w:t>
      </w:r>
      <w:r w:rsidR="0071101E">
        <w:rPr>
          <w:szCs w:val="24"/>
        </w:rPr>
        <w:t xml:space="preserve"> </w:t>
      </w:r>
    </w:p>
    <w:p w:rsidR="000954BD" w:rsidRPr="00E44B8A" w:rsidRDefault="000954BD" w:rsidP="00E44B8A">
      <w:pPr>
        <w:ind w:right="-568" w:firstLine="426"/>
        <w:jc w:val="both"/>
        <w:rPr>
          <w:sz w:val="16"/>
          <w:szCs w:val="16"/>
        </w:rPr>
      </w:pPr>
      <w:bookmarkStart w:id="3" w:name="art3"/>
      <w:bookmarkEnd w:id="3"/>
    </w:p>
    <w:p w:rsidR="005846B3" w:rsidRDefault="000954BD" w:rsidP="00E44B8A">
      <w:pPr>
        <w:ind w:right="-568" w:firstLine="426"/>
        <w:jc w:val="both"/>
      </w:pPr>
      <w:r w:rsidRPr="000954BD">
        <w:rPr>
          <w:b/>
        </w:rPr>
        <w:t>Art. 3</w:t>
      </w:r>
      <w:r w:rsidRPr="000954BD">
        <w:rPr>
          <w:b/>
          <w:strike/>
        </w:rPr>
        <w:t>º</w:t>
      </w:r>
      <w:r w:rsidRPr="000954BD">
        <w:rPr>
          <w:b/>
        </w:rPr>
        <w:t>.</w:t>
      </w:r>
      <w:r w:rsidRPr="000954BD">
        <w:t xml:space="preserve"> </w:t>
      </w:r>
      <w:r w:rsidR="005846B3">
        <w:t>Caberá à SEFAZ – Secretaria Municipal de Fazenda diligências junto a empresa responsável pelo Sistema Eletrônico de Cobrança Tributária a adaptação das normas de que tratam o presente Decreto.</w:t>
      </w:r>
      <w:bookmarkStart w:id="4" w:name="art28"/>
      <w:bookmarkEnd w:id="4"/>
    </w:p>
    <w:p w:rsidR="005846B3" w:rsidRPr="00E44B8A" w:rsidRDefault="005846B3" w:rsidP="00E44B8A">
      <w:pPr>
        <w:ind w:right="-568" w:firstLine="426"/>
        <w:jc w:val="both"/>
        <w:rPr>
          <w:sz w:val="16"/>
          <w:szCs w:val="16"/>
        </w:rPr>
      </w:pPr>
    </w:p>
    <w:p w:rsidR="00775F2E" w:rsidRDefault="000954BD" w:rsidP="00E44B8A">
      <w:pPr>
        <w:ind w:right="-568" w:firstLine="426"/>
        <w:jc w:val="both"/>
        <w:rPr>
          <w:szCs w:val="24"/>
        </w:rPr>
      </w:pPr>
      <w:r w:rsidRPr="00775F2E">
        <w:rPr>
          <w:b/>
          <w:szCs w:val="24"/>
        </w:rPr>
        <w:t xml:space="preserve">Art. </w:t>
      </w:r>
      <w:r w:rsidR="005846B3">
        <w:rPr>
          <w:b/>
          <w:szCs w:val="24"/>
        </w:rPr>
        <w:t>4º</w:t>
      </w:r>
      <w:r w:rsidRPr="00775F2E">
        <w:rPr>
          <w:b/>
          <w:szCs w:val="24"/>
        </w:rPr>
        <w:t>.</w:t>
      </w:r>
      <w:r w:rsidRPr="00D50A6E">
        <w:rPr>
          <w:szCs w:val="24"/>
        </w:rPr>
        <w:t xml:space="preserve">  Este Decreto entra em vigor </w:t>
      </w:r>
      <w:r w:rsidR="005846B3">
        <w:rPr>
          <w:szCs w:val="24"/>
        </w:rPr>
        <w:t xml:space="preserve">na data de sua </w:t>
      </w:r>
      <w:r w:rsidRPr="00D50A6E">
        <w:rPr>
          <w:szCs w:val="24"/>
        </w:rPr>
        <w:t>publicação</w:t>
      </w:r>
      <w:r w:rsidR="00775F2E">
        <w:rPr>
          <w:szCs w:val="24"/>
        </w:rPr>
        <w:t xml:space="preserve">, </w:t>
      </w:r>
      <w:r w:rsidR="005846B3">
        <w:rPr>
          <w:szCs w:val="24"/>
        </w:rPr>
        <w:t>retroagindo seus efeitos a esta data. R</w:t>
      </w:r>
      <w:r w:rsidR="00775F2E">
        <w:rPr>
          <w:szCs w:val="24"/>
        </w:rPr>
        <w:t>evogadas as disposições em contrário</w:t>
      </w:r>
      <w:r w:rsidRPr="00D50A6E">
        <w:rPr>
          <w:szCs w:val="24"/>
        </w:rPr>
        <w:t>.</w:t>
      </w:r>
    </w:p>
    <w:p w:rsidR="00775F2E" w:rsidRDefault="00775F2E" w:rsidP="00E44B8A">
      <w:pPr>
        <w:ind w:right="-568" w:firstLine="426"/>
        <w:jc w:val="both"/>
        <w:rPr>
          <w:szCs w:val="24"/>
        </w:rPr>
      </w:pPr>
    </w:p>
    <w:p w:rsidR="000954BD" w:rsidRPr="00E44B8A" w:rsidRDefault="00775F2E" w:rsidP="00775F2E">
      <w:pPr>
        <w:ind w:right="-568"/>
        <w:jc w:val="center"/>
        <w:rPr>
          <w:szCs w:val="24"/>
        </w:rPr>
      </w:pPr>
      <w:r w:rsidRPr="00E44B8A">
        <w:rPr>
          <w:szCs w:val="24"/>
        </w:rPr>
        <w:t>Registre-se. Publique-se. Cumpra-se.</w:t>
      </w:r>
    </w:p>
    <w:p w:rsidR="00775F2E" w:rsidRPr="00E44B8A" w:rsidRDefault="00775F2E" w:rsidP="00775F2E">
      <w:pPr>
        <w:ind w:right="-568"/>
        <w:jc w:val="center"/>
        <w:rPr>
          <w:b/>
          <w:sz w:val="16"/>
          <w:szCs w:val="16"/>
        </w:rPr>
      </w:pPr>
    </w:p>
    <w:p w:rsidR="00775F2E" w:rsidRDefault="00775F2E" w:rsidP="00775F2E">
      <w:pPr>
        <w:ind w:right="-568"/>
        <w:jc w:val="center"/>
        <w:rPr>
          <w:szCs w:val="24"/>
        </w:rPr>
      </w:pPr>
      <w:r>
        <w:rPr>
          <w:szCs w:val="24"/>
        </w:rPr>
        <w:t xml:space="preserve">Gabinete da Prefeita, </w:t>
      </w:r>
      <w:r w:rsidR="00542DC7">
        <w:rPr>
          <w:szCs w:val="24"/>
        </w:rPr>
        <w:t>26</w:t>
      </w:r>
      <w:r>
        <w:rPr>
          <w:szCs w:val="24"/>
        </w:rPr>
        <w:t xml:space="preserve"> de </w:t>
      </w:r>
      <w:r w:rsidR="005846B3">
        <w:rPr>
          <w:szCs w:val="24"/>
        </w:rPr>
        <w:t>março</w:t>
      </w:r>
      <w:r>
        <w:rPr>
          <w:szCs w:val="24"/>
        </w:rPr>
        <w:t xml:space="preserve"> de 2019</w:t>
      </w:r>
    </w:p>
    <w:p w:rsidR="00775F2E" w:rsidRDefault="00775F2E" w:rsidP="00775F2E">
      <w:pPr>
        <w:ind w:right="-568"/>
        <w:jc w:val="center"/>
        <w:rPr>
          <w:szCs w:val="24"/>
        </w:rPr>
      </w:pPr>
    </w:p>
    <w:p w:rsidR="00775F2E" w:rsidRDefault="00775F2E" w:rsidP="00775F2E">
      <w:pPr>
        <w:ind w:right="-568"/>
        <w:jc w:val="center"/>
        <w:rPr>
          <w:szCs w:val="24"/>
        </w:rPr>
      </w:pPr>
    </w:p>
    <w:p w:rsidR="00775F2E" w:rsidRPr="00E44B8A" w:rsidRDefault="00775F2E" w:rsidP="00775F2E">
      <w:pPr>
        <w:ind w:right="-568"/>
        <w:jc w:val="center"/>
        <w:rPr>
          <w:b/>
          <w:i/>
          <w:sz w:val="28"/>
          <w:szCs w:val="28"/>
        </w:rPr>
      </w:pPr>
      <w:r w:rsidRPr="00E44B8A">
        <w:rPr>
          <w:b/>
          <w:i/>
          <w:sz w:val="28"/>
          <w:szCs w:val="28"/>
        </w:rPr>
        <w:t xml:space="preserve">Lívia </w:t>
      </w:r>
      <w:proofErr w:type="spellStart"/>
      <w:r w:rsidRPr="00E44B8A">
        <w:rPr>
          <w:b/>
          <w:i/>
          <w:sz w:val="28"/>
          <w:szCs w:val="28"/>
        </w:rPr>
        <w:t>Bello</w:t>
      </w:r>
      <w:proofErr w:type="spellEnd"/>
    </w:p>
    <w:p w:rsidR="00775F2E" w:rsidRDefault="00775F2E" w:rsidP="00775F2E">
      <w:pPr>
        <w:ind w:right="-568"/>
        <w:jc w:val="center"/>
        <w:rPr>
          <w:b/>
          <w:i/>
          <w:szCs w:val="24"/>
        </w:rPr>
      </w:pPr>
      <w:r>
        <w:rPr>
          <w:b/>
          <w:i/>
          <w:szCs w:val="24"/>
        </w:rPr>
        <w:t>“</w:t>
      </w:r>
      <w:r w:rsidRPr="00E44B8A">
        <w:rPr>
          <w:b/>
          <w:szCs w:val="24"/>
        </w:rPr>
        <w:t>Lívia de Chiquinho”</w:t>
      </w:r>
    </w:p>
    <w:p w:rsidR="000954BD" w:rsidRPr="000954BD" w:rsidRDefault="00775F2E" w:rsidP="005846B3">
      <w:pPr>
        <w:ind w:right="-568"/>
        <w:jc w:val="center"/>
      </w:pPr>
      <w:r>
        <w:rPr>
          <w:b/>
          <w:szCs w:val="24"/>
        </w:rPr>
        <w:t>Prefeita</w:t>
      </w:r>
      <w:bookmarkStart w:id="5" w:name="art29"/>
      <w:bookmarkEnd w:id="5"/>
    </w:p>
    <w:sectPr w:rsidR="000954BD" w:rsidRPr="000954BD" w:rsidSect="003620E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E6A" w:rsidRDefault="00D57E6A" w:rsidP="003620ED">
      <w:r>
        <w:separator/>
      </w:r>
    </w:p>
  </w:endnote>
  <w:endnote w:type="continuationSeparator" w:id="0">
    <w:p w:rsidR="00D57E6A" w:rsidRDefault="00D57E6A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B0D" w:rsidRPr="003620ED" w:rsidRDefault="00802B0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802B0D" w:rsidRDefault="00802B0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802B0D" w:rsidRPr="003620ED" w:rsidRDefault="00802B0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802B0D" w:rsidRDefault="00802B0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E6A" w:rsidRDefault="00D57E6A" w:rsidP="003620ED">
      <w:r>
        <w:separator/>
      </w:r>
    </w:p>
  </w:footnote>
  <w:footnote w:type="continuationSeparator" w:id="0">
    <w:p w:rsidR="00D57E6A" w:rsidRDefault="00D57E6A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B0D" w:rsidRDefault="00D57E6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B0D" w:rsidRDefault="00802B0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57E6A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B0D" w:rsidRDefault="00D57E6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B5ED0"/>
    <w:multiLevelType w:val="hybridMultilevel"/>
    <w:tmpl w:val="279CE502"/>
    <w:lvl w:ilvl="0" w:tplc="0CC2B7A2">
      <w:start w:val="2"/>
      <w:numFmt w:val="upperRoman"/>
      <w:lvlText w:val="%1"/>
      <w:lvlJc w:val="left"/>
      <w:pPr>
        <w:ind w:left="79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76CBAC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C619AE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F0B46A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7E0AEC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00A57E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ECA38C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B69A4A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162D60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BC2BEE"/>
    <w:multiLevelType w:val="hybridMultilevel"/>
    <w:tmpl w:val="F8D22B2A"/>
    <w:lvl w:ilvl="0" w:tplc="69BCE544">
      <w:start w:val="1"/>
      <w:numFmt w:val="upperRoman"/>
      <w:lvlText w:val="%1"/>
      <w:lvlJc w:val="left"/>
      <w:pPr>
        <w:ind w:left="79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EC7ACC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BEC78C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6CC51C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181F14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F448E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1E7746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900E2C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281D52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47114"/>
    <w:rsid w:val="000749A8"/>
    <w:rsid w:val="000861DB"/>
    <w:rsid w:val="000932C6"/>
    <w:rsid w:val="000954BD"/>
    <w:rsid w:val="000969DE"/>
    <w:rsid w:val="000C22F7"/>
    <w:rsid w:val="000C2E0D"/>
    <w:rsid w:val="000C615D"/>
    <w:rsid w:val="000F733C"/>
    <w:rsid w:val="00150432"/>
    <w:rsid w:val="001758D3"/>
    <w:rsid w:val="0018642E"/>
    <w:rsid w:val="001C4613"/>
    <w:rsid w:val="00201004"/>
    <w:rsid w:val="0020163E"/>
    <w:rsid w:val="0023296C"/>
    <w:rsid w:val="002451E8"/>
    <w:rsid w:val="00252243"/>
    <w:rsid w:val="00294D49"/>
    <w:rsid w:val="002B7A68"/>
    <w:rsid w:val="002C7EBF"/>
    <w:rsid w:val="00305740"/>
    <w:rsid w:val="00351568"/>
    <w:rsid w:val="003620ED"/>
    <w:rsid w:val="003832A5"/>
    <w:rsid w:val="003E585D"/>
    <w:rsid w:val="00426029"/>
    <w:rsid w:val="0045744E"/>
    <w:rsid w:val="004D036F"/>
    <w:rsid w:val="004E099E"/>
    <w:rsid w:val="005160B4"/>
    <w:rsid w:val="00530001"/>
    <w:rsid w:val="00532139"/>
    <w:rsid w:val="00542DC7"/>
    <w:rsid w:val="00542E65"/>
    <w:rsid w:val="00580259"/>
    <w:rsid w:val="005846B3"/>
    <w:rsid w:val="005957A0"/>
    <w:rsid w:val="005B7A34"/>
    <w:rsid w:val="005C3EA4"/>
    <w:rsid w:val="005C4718"/>
    <w:rsid w:val="005E59A3"/>
    <w:rsid w:val="00662E1D"/>
    <w:rsid w:val="00672197"/>
    <w:rsid w:val="00675506"/>
    <w:rsid w:val="0068091C"/>
    <w:rsid w:val="00693215"/>
    <w:rsid w:val="006B2ECC"/>
    <w:rsid w:val="00705B31"/>
    <w:rsid w:val="00707AFF"/>
    <w:rsid w:val="00710C29"/>
    <w:rsid w:val="0071101E"/>
    <w:rsid w:val="00722114"/>
    <w:rsid w:val="0074013F"/>
    <w:rsid w:val="00744EB5"/>
    <w:rsid w:val="00761CB0"/>
    <w:rsid w:val="00775B99"/>
    <w:rsid w:val="00775F2E"/>
    <w:rsid w:val="00783C3B"/>
    <w:rsid w:val="007D05B0"/>
    <w:rsid w:val="007F1241"/>
    <w:rsid w:val="007F4F46"/>
    <w:rsid w:val="00802B0D"/>
    <w:rsid w:val="00821DB7"/>
    <w:rsid w:val="00867EF9"/>
    <w:rsid w:val="008C43D3"/>
    <w:rsid w:val="008D0E81"/>
    <w:rsid w:val="009A1755"/>
    <w:rsid w:val="009B10E2"/>
    <w:rsid w:val="009B4743"/>
    <w:rsid w:val="009C5346"/>
    <w:rsid w:val="009E355A"/>
    <w:rsid w:val="00A01CE6"/>
    <w:rsid w:val="00A152F7"/>
    <w:rsid w:val="00A60578"/>
    <w:rsid w:val="00A76D87"/>
    <w:rsid w:val="00A87F89"/>
    <w:rsid w:val="00A97240"/>
    <w:rsid w:val="00AA5064"/>
    <w:rsid w:val="00AB684F"/>
    <w:rsid w:val="00AE41A9"/>
    <w:rsid w:val="00B0629C"/>
    <w:rsid w:val="00B31AE0"/>
    <w:rsid w:val="00B37FE7"/>
    <w:rsid w:val="00B47816"/>
    <w:rsid w:val="00B7436D"/>
    <w:rsid w:val="00BA07CD"/>
    <w:rsid w:val="00BB2EB1"/>
    <w:rsid w:val="00BD0C90"/>
    <w:rsid w:val="00C50849"/>
    <w:rsid w:val="00C607CD"/>
    <w:rsid w:val="00C60B7A"/>
    <w:rsid w:val="00CF3ACD"/>
    <w:rsid w:val="00D330FC"/>
    <w:rsid w:val="00D50A6E"/>
    <w:rsid w:val="00D576AA"/>
    <w:rsid w:val="00D57E6A"/>
    <w:rsid w:val="00D60469"/>
    <w:rsid w:val="00D65454"/>
    <w:rsid w:val="00DA0D93"/>
    <w:rsid w:val="00DA12FA"/>
    <w:rsid w:val="00DB3BBB"/>
    <w:rsid w:val="00DF6E28"/>
    <w:rsid w:val="00E00D2C"/>
    <w:rsid w:val="00E22AF3"/>
    <w:rsid w:val="00E43C89"/>
    <w:rsid w:val="00E44B8A"/>
    <w:rsid w:val="00EA0CEA"/>
    <w:rsid w:val="00EC6267"/>
    <w:rsid w:val="00EE4365"/>
    <w:rsid w:val="00EF3269"/>
    <w:rsid w:val="00EF3472"/>
    <w:rsid w:val="00F05BC2"/>
    <w:rsid w:val="00F1302C"/>
    <w:rsid w:val="00F2645B"/>
    <w:rsid w:val="00F81361"/>
    <w:rsid w:val="00FA426A"/>
    <w:rsid w:val="00FD3932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5CD4F10B-A894-4443-8B06-D9FF4A7DD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B7436D"/>
    <w:pPr>
      <w:keepNext/>
      <w:jc w:val="center"/>
      <w:outlineLvl w:val="6"/>
    </w:pPr>
    <w:rPr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EE4365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EE4365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B7436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B7436D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7Char">
    <w:name w:val="Título 7 Char"/>
    <w:basedOn w:val="Fontepargpadro"/>
    <w:link w:val="Ttulo7"/>
    <w:rsid w:val="00B7436D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paragraph" w:styleId="SemEspaamento">
    <w:name w:val="No Spacing"/>
    <w:uiPriority w:val="1"/>
    <w:qFormat/>
    <w:rsid w:val="00BD0C9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668F3-FA0F-48EE-A300-5EF4548CB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2019-04-02T15:47:00Z</cp:lastPrinted>
  <dcterms:created xsi:type="dcterms:W3CDTF">2019-04-02T19:18:00Z</dcterms:created>
  <dcterms:modified xsi:type="dcterms:W3CDTF">2019-04-02T19:18:00Z</dcterms:modified>
</cp:coreProperties>
</file>