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F" w:rsidRPr="00D9050F" w:rsidRDefault="002035EF" w:rsidP="002035EF">
      <w:pPr>
        <w:pStyle w:val="SemEspaamento"/>
        <w:ind w:left="567"/>
        <w:jc w:val="center"/>
        <w:rPr>
          <w:rFonts w:ascii="Book Antiqua" w:hAnsi="Book Antiqua"/>
          <w:b/>
          <w:sz w:val="26"/>
          <w:szCs w:val="26"/>
          <w:u w:val="single"/>
        </w:rPr>
      </w:pPr>
      <w:bookmarkStart w:id="0" w:name="_GoBack"/>
      <w:bookmarkEnd w:id="0"/>
      <w:r w:rsidRPr="00D9050F">
        <w:rPr>
          <w:rFonts w:ascii="Book Antiqua" w:hAnsi="Book Antiqua"/>
          <w:b/>
          <w:sz w:val="26"/>
          <w:szCs w:val="26"/>
          <w:u w:val="single"/>
        </w:rPr>
        <w:t>DECRETO Nº 149 DE 25 DE OUTUBRO DE 2017.</w:t>
      </w:r>
    </w:p>
    <w:p w:rsidR="002035EF" w:rsidRDefault="002035EF" w:rsidP="002035EF">
      <w:pPr>
        <w:pStyle w:val="SemEspaamento"/>
        <w:ind w:left="567"/>
        <w:jc w:val="center"/>
        <w:rPr>
          <w:rFonts w:ascii="Book Antiqua" w:hAnsi="Book Antiqua"/>
          <w:b/>
          <w:sz w:val="26"/>
          <w:szCs w:val="26"/>
        </w:rPr>
      </w:pPr>
    </w:p>
    <w:p w:rsidR="002035EF" w:rsidRDefault="002035EF" w:rsidP="002035EF">
      <w:pPr>
        <w:pStyle w:val="SemEspaamento"/>
        <w:ind w:left="4536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“Regulamenta a concessão de uso dos bens públicos fixos, situados na Praça Antonio Raposo, para fins de cobrança da Taxa mensal de Uso de Bem Público.”</w:t>
      </w:r>
    </w:p>
    <w:p w:rsidR="002035EF" w:rsidRDefault="002035EF" w:rsidP="00D9050F">
      <w:pPr>
        <w:pStyle w:val="SemEspaamento"/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A PREFEITA MUNICIPAL DE ARARUAMA</w:t>
      </w:r>
      <w:r>
        <w:rPr>
          <w:rFonts w:ascii="Book Antiqua" w:hAnsi="Book Antiqua"/>
          <w:sz w:val="26"/>
          <w:szCs w:val="26"/>
        </w:rPr>
        <w:t xml:space="preserve">, Estado do Rio de Janeiro, no uso de suas atribuições e competência que lhes são conferidas por lei, notadamente o disposto nos incisos VII e VIII, do Art. 69, da Lei Orgânica do Município; </w:t>
      </w:r>
    </w:p>
    <w:p w:rsidR="002035EF" w:rsidRDefault="002035EF" w:rsidP="00D9050F">
      <w:pPr>
        <w:pStyle w:val="SemEspaamento"/>
        <w:spacing w:line="264" w:lineRule="auto"/>
        <w:ind w:left="-284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 w:rsidRPr="00D9050F">
        <w:rPr>
          <w:rFonts w:ascii="Book Antiqua" w:hAnsi="Book Antiqua"/>
          <w:b/>
          <w:sz w:val="26"/>
          <w:szCs w:val="26"/>
        </w:rPr>
        <w:t>Considerando,</w:t>
      </w:r>
      <w:r>
        <w:rPr>
          <w:rFonts w:ascii="Book Antiqua" w:hAnsi="Book Antiqua"/>
          <w:sz w:val="26"/>
          <w:szCs w:val="26"/>
        </w:rPr>
        <w:t xml:space="preserve"> o que dispõe o Art. 100, da Lei Orgânica do Município;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 w:rsidRPr="00D9050F">
        <w:rPr>
          <w:rFonts w:ascii="Book Antiqua" w:hAnsi="Book Antiqua"/>
          <w:b/>
          <w:sz w:val="26"/>
          <w:szCs w:val="26"/>
        </w:rPr>
        <w:t>Considerando,</w:t>
      </w:r>
      <w:r>
        <w:rPr>
          <w:rFonts w:ascii="Book Antiqua" w:hAnsi="Book Antiqua"/>
          <w:sz w:val="26"/>
          <w:szCs w:val="26"/>
        </w:rPr>
        <w:t xml:space="preserve"> que é dever da Administração manter atualizados os valores cobrados pelo Uso de Bens Públicos, bem como regulamentar a forma de concessão desses bens;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 w:rsidRPr="00D9050F">
        <w:rPr>
          <w:rFonts w:ascii="Book Antiqua" w:hAnsi="Book Antiqua"/>
          <w:b/>
          <w:sz w:val="26"/>
          <w:szCs w:val="26"/>
        </w:rPr>
        <w:t>Considerando,</w:t>
      </w:r>
      <w:r>
        <w:rPr>
          <w:rFonts w:ascii="Book Antiqua" w:hAnsi="Book Antiqua"/>
          <w:sz w:val="26"/>
          <w:szCs w:val="26"/>
        </w:rPr>
        <w:t xml:space="preserve"> o que restou provado nos autos da Ação de Execução do TAC – Termo de Ajustamento de Conduta firmado entre o Município e o Ministério Público do Estado do Rio de Janeiro – Processo nº 0011908-10.2011.8.19.0052;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</w:p>
    <w:p w:rsidR="002035EF" w:rsidRPr="00D9050F" w:rsidRDefault="002035EF" w:rsidP="00D9050F">
      <w:pPr>
        <w:pStyle w:val="SemEspaamento"/>
        <w:spacing w:line="264" w:lineRule="auto"/>
        <w:ind w:left="-284" w:firstLine="851"/>
        <w:jc w:val="center"/>
        <w:rPr>
          <w:rFonts w:ascii="Book Antiqua" w:hAnsi="Book Antiqua"/>
          <w:b/>
          <w:sz w:val="26"/>
          <w:szCs w:val="26"/>
        </w:rPr>
      </w:pPr>
      <w:r w:rsidRPr="00D9050F">
        <w:rPr>
          <w:rFonts w:ascii="Book Antiqua" w:hAnsi="Book Antiqua"/>
          <w:b/>
          <w:sz w:val="26"/>
          <w:szCs w:val="26"/>
        </w:rPr>
        <w:t>D E C R E T A: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center"/>
        <w:rPr>
          <w:rFonts w:ascii="Book Antiqua" w:hAnsi="Book Antiqua"/>
          <w:b/>
          <w:i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1º. </w:t>
      </w:r>
      <w:r>
        <w:rPr>
          <w:rFonts w:ascii="Book Antiqua" w:hAnsi="Book Antiqua"/>
          <w:sz w:val="26"/>
          <w:szCs w:val="26"/>
        </w:rPr>
        <w:t xml:space="preserve">Fica </w:t>
      </w:r>
      <w:r w:rsidRPr="00D9050F">
        <w:rPr>
          <w:rFonts w:ascii="Book Antiqua" w:hAnsi="Book Antiqua"/>
          <w:b/>
          <w:sz w:val="26"/>
          <w:szCs w:val="26"/>
        </w:rPr>
        <w:t>revogado</w:t>
      </w:r>
      <w:r>
        <w:rPr>
          <w:rFonts w:ascii="Book Antiqua" w:hAnsi="Book Antiqua"/>
          <w:sz w:val="26"/>
          <w:szCs w:val="26"/>
        </w:rPr>
        <w:t xml:space="preserve"> o Decreto nº 076, de 18 de agosto de 2015.</w:t>
      </w:r>
    </w:p>
    <w:p w:rsidR="002035EF" w:rsidRDefault="002035EF" w:rsidP="00D9050F">
      <w:pPr>
        <w:pStyle w:val="SemEspaamento"/>
        <w:spacing w:line="264" w:lineRule="auto"/>
        <w:ind w:left="-284" w:firstLine="851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2º. </w:t>
      </w:r>
      <w:r>
        <w:rPr>
          <w:rFonts w:ascii="Book Antiqua" w:hAnsi="Book Antiqua"/>
          <w:sz w:val="26"/>
          <w:szCs w:val="26"/>
        </w:rPr>
        <w:t>Para efeito de concessão de uso ficam definidos como bens públicos fixos para fins de exploração comercial na Praça Antonio Raposo, os seguintes quiosques:</w:t>
      </w:r>
    </w:p>
    <w:p w:rsidR="00F720CB" w:rsidRDefault="00F720CB" w:rsidP="00F720CB">
      <w:pPr>
        <w:pStyle w:val="SemEspaamento"/>
        <w:jc w:val="both"/>
        <w:rPr>
          <w:rFonts w:ascii="Book Antiqua" w:hAnsi="Book Antiqua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917"/>
        <w:gridCol w:w="3357"/>
      </w:tblGrid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NÚMERO: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ATIVIDADE: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TAMANHO: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01 (um)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Cafeteria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3,50 x 4,50 = 15,75m²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02 (dois)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>
              <w:rPr>
                <w:rFonts w:ascii="Book Antiqua" w:hAnsi="Book Antiqua"/>
                <w:sz w:val="26"/>
                <w:szCs w:val="26"/>
              </w:rPr>
              <w:t>Creperia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3,50 x 4.50 = 15,75m²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03 (três)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Sorveteria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3,00 x 4,00 = 12,00m²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04 (quatro)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Sorveteria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3,00 x 3,00 =   9,00m²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05 (cinco)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2,00 x 3,00 =   6,00m²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06 (seis)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2,00 x 3,00 =   6,00m²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07 (sete)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2,00 x 3,00 =   6,00m²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08 (oito)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2,00 x 3,00 =   6,00m²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 (nove)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2,00 x 3,00 =   6,00m²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lastRenderedPageBreak/>
              <w:t>10 (dez)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2,00 x 3,00 =   6,00m²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 (onze)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2,00 x 3,00 =   6,00m²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12 (doze)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2,00 x 3,00 =   6,00m²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13 (treze)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Churrascaria e Restaurante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Ø 15,00 =  176,71m²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14(quatorz</w:t>
            </w:r>
            <w:r w:rsidR="00F720CB">
              <w:rPr>
                <w:rFonts w:ascii="Book Antiqua" w:hAnsi="Book Antiqua"/>
                <w:sz w:val="26"/>
                <w:szCs w:val="26"/>
              </w:rPr>
              <w:t>e)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Lanchonete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5,00 x 5,00 = 25,00m²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15 (quinze)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Salão de Cabeleireiro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-</w:t>
            </w:r>
          </w:p>
        </w:tc>
      </w:tr>
      <w:tr w:rsidR="002035EF" w:rsidTr="00F720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16(dezesseis</w:t>
            </w:r>
            <w:r w:rsidR="00F720CB">
              <w:rPr>
                <w:rFonts w:ascii="Book Antiqua" w:hAnsi="Book Antiqua"/>
                <w:sz w:val="26"/>
                <w:szCs w:val="26"/>
              </w:rPr>
              <w:t>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Restaurante (Frutos do Mar)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F720CB">
            <w:pPr>
              <w:pStyle w:val="SemEspaamento"/>
              <w:ind w:left="-284" w:firstLine="284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Ø 8,00  =   50,26m²</w:t>
            </w:r>
          </w:p>
        </w:tc>
      </w:tr>
    </w:tbl>
    <w:p w:rsidR="002035EF" w:rsidRDefault="002035EF" w:rsidP="00D9050F">
      <w:pPr>
        <w:pStyle w:val="SemEspaamento"/>
        <w:ind w:left="-284"/>
        <w:jc w:val="both"/>
        <w:rPr>
          <w:rFonts w:ascii="Book Antiqua" w:hAnsi="Book Antiqua"/>
          <w:b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3º. </w:t>
      </w:r>
      <w:r>
        <w:rPr>
          <w:rFonts w:ascii="Book Antiqua" w:hAnsi="Book Antiqua"/>
          <w:sz w:val="26"/>
          <w:szCs w:val="26"/>
        </w:rPr>
        <w:t>A concessão terá por objetivo a escolha de empresa, mediante outorga ao Município, para gestão, manutenção e adaptação dos quiosques e construção, gestão e manutenção do restaurante de frutos do mar, de acordo com o projeto apresentado pela Secretaria de Obras, Urbanismo e Serviços Públicos.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4º. </w:t>
      </w:r>
      <w:r>
        <w:rPr>
          <w:rFonts w:ascii="Book Antiqua" w:hAnsi="Book Antiqua"/>
          <w:sz w:val="26"/>
          <w:szCs w:val="26"/>
        </w:rPr>
        <w:t xml:space="preserve">A construção do restaurante de frutos do mar de que trata o artigo 3º, será integralmente custeada pela empresa vencedora do certame licitatório no prazo de </w:t>
      </w:r>
      <w:r w:rsidR="002A2E85">
        <w:rPr>
          <w:rFonts w:ascii="Book Antiqua" w:hAnsi="Book Antiqua"/>
          <w:sz w:val="26"/>
          <w:szCs w:val="26"/>
        </w:rPr>
        <w:t>01 (um) ano</w:t>
      </w:r>
      <w:r>
        <w:rPr>
          <w:rFonts w:ascii="Book Antiqua" w:hAnsi="Book Antiqua"/>
          <w:sz w:val="26"/>
          <w:szCs w:val="26"/>
        </w:rPr>
        <w:t>, a contar da data de assinatura do contrato e, uma vez, concluída incorporar-se-á ao patrimônio público municipal, não gerando para a empresa qualquer direito à indenização, retenção ou compensação do valor despedido.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5º. </w:t>
      </w:r>
      <w:r>
        <w:rPr>
          <w:rFonts w:ascii="Book Antiqua" w:hAnsi="Book Antiqua"/>
          <w:sz w:val="26"/>
          <w:szCs w:val="26"/>
        </w:rPr>
        <w:t>Toda e qualquer obra de manutenção, adaptação e conservação dos bens definidos no Art. 2º e que integram a Licitação de que trata o presente Decreto, correrá por conta e risco da empresa vencedora do certame, não gerando direito à indenização, retenção ou compensação.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6º. </w:t>
      </w:r>
      <w:r>
        <w:rPr>
          <w:rFonts w:ascii="Book Antiqua" w:hAnsi="Book Antiqua"/>
          <w:sz w:val="26"/>
          <w:szCs w:val="26"/>
        </w:rPr>
        <w:t>A concessão far-se-á através de Processo Licitatório do tipo MAIOR OFERTA, ficando estabelecida a Outorga Inicial no equivalente ao valor mínimo de 03 (três) vezes o valor da locação mensal de cada unidade objeto da licitação.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7º. </w:t>
      </w:r>
      <w:r>
        <w:rPr>
          <w:rFonts w:ascii="Book Antiqua" w:hAnsi="Book Antiqua"/>
          <w:sz w:val="26"/>
          <w:szCs w:val="26"/>
        </w:rPr>
        <w:t>Além da Outorga Inicial a empresa vencedora pagará ao Município, mensalmente o correspondente a 1/3 (um terço) do valor da locação recebida de cada unidade.</w:t>
      </w:r>
    </w:p>
    <w:p w:rsidR="002035EF" w:rsidRDefault="002035EF" w:rsidP="00D9050F">
      <w:pPr>
        <w:pStyle w:val="SemEspaamento"/>
        <w:spacing w:line="264" w:lineRule="auto"/>
        <w:ind w:left="-284"/>
        <w:jc w:val="both"/>
        <w:rPr>
          <w:rFonts w:ascii="Book Antiqua" w:hAnsi="Book Antiqua"/>
          <w:b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8º. </w:t>
      </w:r>
      <w:r>
        <w:rPr>
          <w:rFonts w:ascii="Book Antiqua" w:hAnsi="Book Antiqua"/>
          <w:sz w:val="26"/>
          <w:szCs w:val="26"/>
        </w:rPr>
        <w:t>Ficam fixados os valores mensais mínimos iniciais para cada unidade, a saber:</w:t>
      </w:r>
    </w:p>
    <w:p w:rsidR="00D9050F" w:rsidRDefault="00D9050F" w:rsidP="00F720CB">
      <w:pPr>
        <w:pStyle w:val="SemEspaamento"/>
        <w:spacing w:line="264" w:lineRule="auto"/>
        <w:jc w:val="both"/>
        <w:rPr>
          <w:rFonts w:ascii="Book Antiqua" w:hAnsi="Book Antiqua"/>
          <w:sz w:val="26"/>
          <w:szCs w:val="26"/>
        </w:rPr>
      </w:pPr>
    </w:p>
    <w:p w:rsidR="00F720CB" w:rsidRDefault="00F720CB" w:rsidP="00F720CB">
      <w:pPr>
        <w:pStyle w:val="SemEspaamento"/>
        <w:spacing w:line="264" w:lineRule="auto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ind w:left="-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3402"/>
      </w:tblGrid>
      <w:tr w:rsidR="00F720CB" w:rsidTr="00F720CB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UNIDADE/ATIVIDADE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TAMANHO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VALOR</w:t>
            </w:r>
          </w:p>
        </w:tc>
      </w:tr>
      <w:tr w:rsidR="00F720CB" w:rsidTr="00F720CB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lastRenderedPageBreak/>
              <w:t>01 / Cafeteria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15,75m²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  450,00</w:t>
            </w:r>
          </w:p>
        </w:tc>
      </w:tr>
      <w:tr w:rsidR="00F720CB" w:rsidTr="00F720CB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02 / </w:t>
            </w:r>
            <w:proofErr w:type="spellStart"/>
            <w:r>
              <w:rPr>
                <w:rFonts w:ascii="Book Antiqua" w:hAnsi="Book Antiqua"/>
                <w:sz w:val="26"/>
                <w:szCs w:val="26"/>
              </w:rPr>
              <w:t>Creperia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15,75m²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  450,00</w:t>
            </w:r>
          </w:p>
        </w:tc>
      </w:tr>
      <w:tr w:rsidR="00F720CB" w:rsidTr="00F720CB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03 / Sorveteria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12,00m²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  360,00</w:t>
            </w:r>
          </w:p>
        </w:tc>
      </w:tr>
      <w:tr w:rsidR="00F720CB" w:rsidTr="00F720CB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04 / Sorveteria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9,00m²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  240,00</w:t>
            </w:r>
          </w:p>
        </w:tc>
      </w:tr>
      <w:tr w:rsidR="00F720CB" w:rsidTr="00F720CB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05 a 12 /Lanche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6,00m²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  240,00</w:t>
            </w:r>
          </w:p>
        </w:tc>
      </w:tr>
      <w:tr w:rsidR="00F720CB" w:rsidTr="00F720CB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13/Churrascaria e Restaurante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176,71m²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R$4.500,00</w:t>
            </w:r>
          </w:p>
        </w:tc>
      </w:tr>
      <w:tr w:rsidR="00F720CB" w:rsidTr="00F720CB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14/Lanchonete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25,00m²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  690,00</w:t>
            </w:r>
          </w:p>
        </w:tc>
      </w:tr>
      <w:tr w:rsidR="00F720CB" w:rsidTr="00F720CB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15/Salão de Cabeleireiro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  450,00</w:t>
            </w:r>
          </w:p>
        </w:tc>
      </w:tr>
      <w:tr w:rsidR="00F720CB" w:rsidTr="00F720CB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16/Restaurante Frutos do 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50,26m²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F" w:rsidRDefault="002035EF" w:rsidP="00D9050F">
            <w:pPr>
              <w:pStyle w:val="SemEspaamento"/>
              <w:ind w:left="-284" w:firstLine="460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R$1.500,00</w:t>
            </w:r>
          </w:p>
        </w:tc>
      </w:tr>
    </w:tbl>
    <w:p w:rsidR="002035EF" w:rsidRDefault="002035EF" w:rsidP="00D9050F">
      <w:pPr>
        <w:pStyle w:val="SemEspaamento"/>
        <w:ind w:left="-284"/>
        <w:jc w:val="both"/>
        <w:rPr>
          <w:rFonts w:ascii="Book Antiqua" w:hAnsi="Book Antiqua"/>
          <w:sz w:val="26"/>
          <w:szCs w:val="26"/>
        </w:rPr>
      </w:pPr>
    </w:p>
    <w:p w:rsidR="00D9050F" w:rsidRDefault="00D9050F" w:rsidP="00D9050F">
      <w:pPr>
        <w:pStyle w:val="SemEspaamento"/>
        <w:ind w:left="-284"/>
        <w:jc w:val="both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Art. 9º. </w:t>
      </w:r>
      <w:r>
        <w:rPr>
          <w:rFonts w:ascii="Book Antiqua" w:hAnsi="Book Antiqua"/>
          <w:sz w:val="26"/>
          <w:szCs w:val="26"/>
        </w:rPr>
        <w:t>O prazo da concessão de que trata o presente Decreto será de 10 (dez) anos.</w:t>
      </w: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b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Art. 10</w:t>
      </w:r>
      <w:r w:rsidR="00D9050F">
        <w:rPr>
          <w:rFonts w:ascii="Book Antiqua" w:hAnsi="Book Antiqua"/>
          <w:b/>
          <w:sz w:val="26"/>
          <w:szCs w:val="26"/>
        </w:rPr>
        <w:t>º</w:t>
      </w:r>
      <w:r>
        <w:rPr>
          <w:rFonts w:ascii="Book Antiqua" w:hAnsi="Book Antiqua"/>
          <w:b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Este Decreto entra em vigor na data de sua publicação retroagindo seus efeitos a 25 de outubro de 2017, revogadas as disposições em contrário.</w:t>
      </w:r>
      <w:r>
        <w:rPr>
          <w:rFonts w:ascii="Book Antiqua" w:hAnsi="Book Antiqua"/>
          <w:b/>
          <w:sz w:val="26"/>
          <w:szCs w:val="26"/>
        </w:rPr>
        <w:t xml:space="preserve">  </w:t>
      </w:r>
    </w:p>
    <w:p w:rsidR="00D9050F" w:rsidRDefault="00D9050F" w:rsidP="00D9050F">
      <w:pPr>
        <w:pStyle w:val="SemEspaamento"/>
        <w:spacing w:line="264" w:lineRule="auto"/>
        <w:ind w:left="-284" w:firstLine="851"/>
        <w:jc w:val="both"/>
        <w:rPr>
          <w:rFonts w:ascii="Book Antiqua" w:hAnsi="Book Antiqua"/>
          <w:b/>
          <w:sz w:val="26"/>
          <w:szCs w:val="26"/>
        </w:rPr>
      </w:pPr>
    </w:p>
    <w:p w:rsidR="002035EF" w:rsidRPr="00D9050F" w:rsidRDefault="002035EF" w:rsidP="00D9050F">
      <w:pPr>
        <w:pStyle w:val="SemEspaamento"/>
        <w:spacing w:line="264" w:lineRule="auto"/>
        <w:ind w:left="-284"/>
        <w:jc w:val="center"/>
        <w:rPr>
          <w:rFonts w:ascii="Book Antiqua" w:hAnsi="Book Antiqua"/>
          <w:sz w:val="26"/>
          <w:szCs w:val="26"/>
        </w:rPr>
      </w:pPr>
      <w:r w:rsidRPr="00D9050F">
        <w:rPr>
          <w:rFonts w:ascii="Book Antiqua" w:hAnsi="Book Antiqua"/>
          <w:sz w:val="26"/>
          <w:szCs w:val="26"/>
        </w:rPr>
        <w:t>Registre-se. Publique-se. Cumpra-se.</w:t>
      </w:r>
    </w:p>
    <w:p w:rsidR="002035EF" w:rsidRPr="00D9050F" w:rsidRDefault="002035EF" w:rsidP="00D9050F">
      <w:pPr>
        <w:pStyle w:val="SemEspaamento"/>
        <w:spacing w:line="264" w:lineRule="auto"/>
        <w:ind w:left="-284"/>
        <w:jc w:val="center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Gabinete da Prefeita, 25 de outubro de 2017.</w:t>
      </w:r>
    </w:p>
    <w:p w:rsidR="002035EF" w:rsidRDefault="002035EF" w:rsidP="00D9050F">
      <w:pPr>
        <w:pStyle w:val="SemEspaamento"/>
        <w:spacing w:line="264" w:lineRule="auto"/>
        <w:ind w:left="-284"/>
        <w:jc w:val="center"/>
        <w:rPr>
          <w:rFonts w:ascii="Book Antiqua" w:hAnsi="Book Antiqua"/>
          <w:sz w:val="26"/>
          <w:szCs w:val="26"/>
        </w:rPr>
      </w:pPr>
    </w:p>
    <w:p w:rsidR="002035EF" w:rsidRDefault="002035EF" w:rsidP="00D9050F">
      <w:pPr>
        <w:pStyle w:val="SemEspaamento"/>
        <w:spacing w:line="264" w:lineRule="auto"/>
        <w:ind w:left="-284"/>
        <w:jc w:val="center"/>
        <w:rPr>
          <w:rFonts w:ascii="Book Antiqua" w:hAnsi="Book Antiqua"/>
          <w:sz w:val="26"/>
          <w:szCs w:val="26"/>
        </w:rPr>
      </w:pPr>
    </w:p>
    <w:p w:rsidR="002035EF" w:rsidRPr="00D9050F" w:rsidRDefault="002035EF" w:rsidP="00D9050F">
      <w:pPr>
        <w:pStyle w:val="SemEspaamento"/>
        <w:spacing w:line="264" w:lineRule="auto"/>
        <w:ind w:left="-284"/>
        <w:jc w:val="center"/>
        <w:rPr>
          <w:rFonts w:ascii="Book Antiqua" w:hAnsi="Book Antiqua"/>
          <w:b/>
          <w:i/>
          <w:sz w:val="28"/>
          <w:szCs w:val="28"/>
        </w:rPr>
      </w:pPr>
      <w:r w:rsidRPr="00D9050F">
        <w:rPr>
          <w:rFonts w:ascii="Book Antiqua" w:hAnsi="Book Antiqua"/>
          <w:b/>
          <w:i/>
          <w:sz w:val="28"/>
          <w:szCs w:val="28"/>
        </w:rPr>
        <w:t xml:space="preserve">Lívia </w:t>
      </w:r>
      <w:proofErr w:type="spellStart"/>
      <w:r w:rsidRPr="00D9050F">
        <w:rPr>
          <w:rFonts w:ascii="Book Antiqua" w:hAnsi="Book Antiqua"/>
          <w:b/>
          <w:i/>
          <w:sz w:val="28"/>
          <w:szCs w:val="28"/>
        </w:rPr>
        <w:t>Bello</w:t>
      </w:r>
      <w:proofErr w:type="spellEnd"/>
    </w:p>
    <w:p w:rsidR="002035EF" w:rsidRDefault="002035EF" w:rsidP="00D9050F">
      <w:pPr>
        <w:pStyle w:val="SemEspaamento"/>
        <w:spacing w:line="264" w:lineRule="auto"/>
        <w:ind w:left="-284"/>
        <w:jc w:val="center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“Lívia de Chiquinho”</w:t>
      </w:r>
    </w:p>
    <w:p w:rsidR="002035EF" w:rsidRDefault="00D9050F" w:rsidP="00D9050F">
      <w:pPr>
        <w:pStyle w:val="SemEspaamento"/>
        <w:ind w:left="-284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BC" w:rsidRDefault="007D7BBC" w:rsidP="003620ED">
      <w:r>
        <w:separator/>
      </w:r>
    </w:p>
  </w:endnote>
  <w:endnote w:type="continuationSeparator" w:id="0">
    <w:p w:rsidR="007D7BBC" w:rsidRDefault="007D7BB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BC" w:rsidRDefault="007D7BBC" w:rsidP="003620ED">
      <w:r>
        <w:separator/>
      </w:r>
    </w:p>
  </w:footnote>
  <w:footnote w:type="continuationSeparator" w:id="0">
    <w:p w:rsidR="007D7BBC" w:rsidRDefault="007D7BB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7B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B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7B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B681A"/>
    <w:rsid w:val="000C2E0D"/>
    <w:rsid w:val="000D2F77"/>
    <w:rsid w:val="00130625"/>
    <w:rsid w:val="00181540"/>
    <w:rsid w:val="001B0D2C"/>
    <w:rsid w:val="001C4613"/>
    <w:rsid w:val="001E1243"/>
    <w:rsid w:val="002035EF"/>
    <w:rsid w:val="00220CDF"/>
    <w:rsid w:val="00220EDF"/>
    <w:rsid w:val="00250E02"/>
    <w:rsid w:val="00294D49"/>
    <w:rsid w:val="00296FD1"/>
    <w:rsid w:val="002A2E85"/>
    <w:rsid w:val="002A61FD"/>
    <w:rsid w:val="002C1B79"/>
    <w:rsid w:val="003075BC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0040B"/>
    <w:rsid w:val="006258B2"/>
    <w:rsid w:val="0063457A"/>
    <w:rsid w:val="00645012"/>
    <w:rsid w:val="00672197"/>
    <w:rsid w:val="0068091C"/>
    <w:rsid w:val="00684159"/>
    <w:rsid w:val="006B34AB"/>
    <w:rsid w:val="006C1972"/>
    <w:rsid w:val="006D6DFD"/>
    <w:rsid w:val="00707AFF"/>
    <w:rsid w:val="00710C29"/>
    <w:rsid w:val="00726898"/>
    <w:rsid w:val="00730194"/>
    <w:rsid w:val="0075402E"/>
    <w:rsid w:val="00775B99"/>
    <w:rsid w:val="00783C3B"/>
    <w:rsid w:val="00791560"/>
    <w:rsid w:val="007D05B0"/>
    <w:rsid w:val="007D3E96"/>
    <w:rsid w:val="007D7BBC"/>
    <w:rsid w:val="007F1241"/>
    <w:rsid w:val="007F684E"/>
    <w:rsid w:val="00821DB7"/>
    <w:rsid w:val="00826E46"/>
    <w:rsid w:val="00860406"/>
    <w:rsid w:val="0089130F"/>
    <w:rsid w:val="008B5668"/>
    <w:rsid w:val="008B73EC"/>
    <w:rsid w:val="008C43D3"/>
    <w:rsid w:val="008E1D84"/>
    <w:rsid w:val="008E6DD9"/>
    <w:rsid w:val="0092761B"/>
    <w:rsid w:val="009645DE"/>
    <w:rsid w:val="009846BF"/>
    <w:rsid w:val="009A4E5C"/>
    <w:rsid w:val="009E355A"/>
    <w:rsid w:val="009E4BF3"/>
    <w:rsid w:val="00A152F7"/>
    <w:rsid w:val="00A46B92"/>
    <w:rsid w:val="00A60091"/>
    <w:rsid w:val="00A729F4"/>
    <w:rsid w:val="00A76D87"/>
    <w:rsid w:val="00A80CDF"/>
    <w:rsid w:val="00A87F89"/>
    <w:rsid w:val="00AA3175"/>
    <w:rsid w:val="00AB008F"/>
    <w:rsid w:val="00B357A5"/>
    <w:rsid w:val="00BA006F"/>
    <w:rsid w:val="00BA1298"/>
    <w:rsid w:val="00BC563D"/>
    <w:rsid w:val="00BF444E"/>
    <w:rsid w:val="00C01CDF"/>
    <w:rsid w:val="00C2576B"/>
    <w:rsid w:val="00C545FC"/>
    <w:rsid w:val="00C71E72"/>
    <w:rsid w:val="00C7511C"/>
    <w:rsid w:val="00C77B87"/>
    <w:rsid w:val="00CA3F7F"/>
    <w:rsid w:val="00CB213D"/>
    <w:rsid w:val="00CC15A7"/>
    <w:rsid w:val="00D00EE5"/>
    <w:rsid w:val="00D10CA5"/>
    <w:rsid w:val="00D60469"/>
    <w:rsid w:val="00D9050F"/>
    <w:rsid w:val="00DC20B8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56584"/>
    <w:rsid w:val="00F720CB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5BF4CC-81FC-4165-B7DA-2A43E82A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FE109-1366-4FB8-BF2A-2BC3312E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2017-10-31T15:10:00Z</cp:lastPrinted>
  <dcterms:created xsi:type="dcterms:W3CDTF">2018-10-02T14:52:00Z</dcterms:created>
  <dcterms:modified xsi:type="dcterms:W3CDTF">2018-10-02T14:52:00Z</dcterms:modified>
</cp:coreProperties>
</file>